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comments.xml" ContentType="application/vnd.openxmlformats-officedocument.wordprocessingml.comments+xml"/>
  <Override PartName="/word/theme/theme1.xml" ContentType="application/vnd.openxmlformats-officedocument.theme+xml"/>
  <Override PartName="/word/commentsExtended.xml" ContentType="application/vnd.openxmlformats-officedocument.wordprocessingml.commentsExtended+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Bdr>
          <w:top w:val="none" w:sz="0" w:space="0"/>
          <w:left w:val="none" w:sz="0" w:space="0"/>
          <w:bottom w:val="none" w:sz="0" w:space="0"/>
          <w:right w:val="none" w:sz="0" w:space="0"/>
        </w:pBdr>
        <w:pStyle w:val="CM3"/>
        <w:keepNext w:val="0"/>
        <w:keepLines w:val="0"/>
        <w:outlineLvl w:val="9"/>
        <w:spacing w:before="0" w:beforeAutospacing="false" w:after="0" w:afterAutospacing="false" w:line="240" w:lineRule="auto"/>
        <w:contextualSpacing w:val="0"/>
        <w:widowControl w:val="0"/>
        <w:ind w:left="0" w:right="0" w:firstLine="0"/>
        <w:jc w:val="center"/>
        <w:rPr>
          <w:rFonts w:ascii="Impact" w:eastAsia="Impact" w:hAnsi="Impact" w:cs="Impact"/>
          <w:b w:val="0"/>
          <w:i w:val="0"/>
          <w:iCs w:val="0"/>
          <w:caps w:val="0"/>
          <w:strike w:val="0"/>
          <w:dstrike w:val="0"/>
          <w:color w:val="auto"/>
          <w:sz w:val="50"/>
          <w:w w:val="100"/>
          <w:szCs w:val="50"/>
          <w:u w:val="none"/>
        </w:rPr>
      </w:pPr>
      <w:r>
        <w:rPr>
          <w:rFonts w:ascii="Arial" w:eastAsia="Arial" w:hAnsi="Arial" w:cs="Arial"/>
          <w:b/>
          <w:bCs/>
          <w:i w:val="0"/>
          <w:iCs w:val="0"/>
          <w:caps w:val="0"/>
          <w:strike w:val="0"/>
          <w:dstrike w:val="0"/>
          <w:sz w:val="27"/>
          <w:w w:val="100"/>
          <w:szCs w:val="27"/>
          <w:u w:val="none"/>
        </w:rPr>
        <w:t xml:space="preserve">Professional Compliance Questionnaire (PCQ) – APS2</w:t>
      </w:r>
    </w:p>
    <w:p>
      <w:pPr>
        <w:pBdr>
          <w:top w:val="none" w:sz="0" w:space="0"/>
          <w:left w:val="none" w:sz="0" w:space="0"/>
          <w:bottom w:val="none" w:sz="0" w:space="0"/>
          <w:right w:val="none" w:sz="0" w:space="0"/>
        </w:pBdr>
        <w:pStyle w:val="CM1"/>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auto"/>
          <w:sz w:val="27"/>
          <w:w w:val="100"/>
          <w:szCs w:val="27"/>
          <w:u w:val="none"/>
        </w:rPr>
      </w:pPr>
      <w:r>
        <w:rPr>
          <w:rFonts w:ascii="Arial" w:eastAsia="Arial" w:hAnsi="Arial" w:cs="Arial"/>
          <w:b/>
          <w:bCs/>
          <w:i w:val="0"/>
          <w:iCs w:val="0"/>
          <w:caps w:val="0"/>
          <w:strike w:val="0"/>
          <w:dstrike w:val="0"/>
          <w:sz w:val="27"/>
          <w:w w:val="100"/>
          <w:szCs w:val="27"/>
          <w:u w:val="none"/>
        </w:rPr>
        <w:t xml:space="preserve"> </w:t>
      </w:r>
    </w:p>
    <w:p>
      <w:pPr>
        <w:pBdr>
          <w:top w:val="none" w:sz="0" w:space="0"/>
          <w:left w:val="none" w:sz="0" w:space="0"/>
          <w:bottom w:val="none" w:sz="0" w:space="0"/>
          <w:right w:val="none" w:sz="0" w:space="0"/>
        </w:pBdr>
        <w:pStyle w:val="Normal"/>
        <w:keepNext w:val="0"/>
        <w:keepLines w:val="0"/>
        <w:outlineLvl w:val="9"/>
        <w:spacing w:before="0" w:beforeAutospacing="false" w:after="248" w:afterAutospacing="false" w:line="223" w:lineRule="atLeast"/>
        <w:contextualSpacing w:val="0"/>
        <w:widowControl w:val="0"/>
        <w:ind w:left="0" w:right="0" w:firstLine="0"/>
        <w:jc w:val="both"/>
        <w:rPr>
          <w:rFonts w:ascii="Calibri" w:eastAsia="Calibri" w:hAnsi="Calibri" w:cs="Calibri"/>
          <w:b w:val="0"/>
          <w:i w:val="0"/>
          <w:iCs w:val="0"/>
          <w:caps w:val="0"/>
          <w:strike w:val="0"/>
          <w:dstrike w:val="0"/>
          <w:color w:val="auto"/>
          <w:sz w:val="22"/>
          <w:w w:val="100"/>
          <w:szCs w:val="22"/>
          <w:u w:val="none"/>
        </w:rPr>
      </w:pPr>
      <w:r>
        <w:rPr>
          <w:rFonts w:ascii="Calibri" w:eastAsia="Calibri" w:hAnsi="Calibri" w:cs="Calibri"/>
          <w:b w:val="0"/>
          <w:i w:val="0"/>
          <w:iCs w:val="0"/>
          <w:caps w:val="0"/>
          <w:strike w:val="0"/>
          <w:dstrike w:val="0"/>
          <w:sz w:val="22"/>
          <w:w w:val="100"/>
          <w:szCs w:val="22"/>
          <w:u w:val="none"/>
        </w:rPr>
        <w:t xml:space="preserve">The Council in terms of the powers vested in it Section 19(2)(i) and Section 19(2)(r) of the Institute of Actuaries of India has put in place the above APS which is classified as Practice Standard, meaning thereby that a material breach of its provisions would by itself be a ground for complaint under disciplinary powers and would amount to a strong prima facie evidence of unprofessional conduct or professionally objectionable conduct. Such evidence could normally be set aside only if the member could show that in an actuarial advice given, any departure considered appropriate from the strict compliance with any aspect of the APS had been disclosed and justified. </w:t>
      </w:r>
    </w:p>
    <w:p>
      <w:pPr>
        <w:pBdr>
          <w:top w:val="none" w:sz="0" w:space="0"/>
          <w:left w:val="none" w:sz="0" w:space="0"/>
          <w:bottom w:val="none" w:sz="0" w:space="0"/>
          <w:right w:val="none" w:sz="0" w:space="0"/>
        </w:pBdr>
        <w:pStyle w:val="Normal"/>
        <w:keepNext w:val="0"/>
        <w:keepLines w:val="0"/>
        <w:outlineLvl w:val="9"/>
        <w:spacing w:before="0" w:beforeAutospacing="false" w:after="248" w:afterAutospacing="false" w:line="223" w:lineRule="atLeast"/>
        <w:contextualSpacing w:val="0"/>
        <w:widowControl w:val="0"/>
        <w:ind w:left="0" w:right="0" w:firstLine="0"/>
        <w:jc w:val="both"/>
        <w:rPr>
          <w:rFonts w:ascii="Calibri" w:eastAsia="Calibri" w:hAnsi="Calibri" w:cs="Calibri"/>
          <w:b w:val="0"/>
          <w:i w:val="0"/>
          <w:iCs w:val="0"/>
          <w:caps w:val="0"/>
          <w:strike w:val="0"/>
          <w:dstrike w:val="0"/>
          <w:color w:val="auto"/>
          <w:sz w:val="22"/>
          <w:spacing w:val="0"/>
          <w:w w:val="100"/>
          <w:szCs w:val="22"/>
          <w:u w:val="none"/>
          <w:vertAlign w:val="baseline"/>
        </w:rPr>
      </w:pPr>
      <w:r>
        <w:rPr>
          <w:rFonts w:ascii="Calibri" w:eastAsia="Calibri" w:hAnsi="Calibri" w:cs="Calibri"/>
          <w:b w:val="0"/>
          <w:i w:val="0"/>
          <w:iCs w:val="0"/>
          <w:caps w:val="0"/>
          <w:strike w:val="0"/>
          <w:dstrike w:val="0"/>
          <w:sz w:val="22"/>
          <w:w w:val="100"/>
          <w:szCs w:val="22"/>
          <w:u w:val="none"/>
        </w:rPr>
        <w:t xml:space="preserve">The Council would want to satisfy itself, to the extent that it is possible to do so, that the Appointed Actuaries are in strict compliance with this APS at all times and that to the extent it is not so, the same is made part of the actuarial report and justified. The Council would also want to satisfy itself as to the manner in which such compliance is actualized so as to ensure that the APS is strengthened if need be on continuing basis. </w:t>
      </w:r>
    </w:p>
    <w:p>
      <w:pPr>
        <w:pBdr>
          <w:top w:val="none" w:sz="0" w:space="0"/>
          <w:left w:val="none" w:sz="0" w:space="0"/>
          <w:bottom w:val="none" w:sz="0" w:space="0"/>
          <w:right w:val="none" w:sz="0" w:space="0"/>
        </w:pBdr>
        <w:pStyle w:val="Normal"/>
        <w:keepNext w:val="0"/>
        <w:keepLines w:val="0"/>
        <w:outlineLvl w:val="9"/>
        <w:spacing w:before="0" w:beforeAutospacing="false" w:after="248" w:afterAutospacing="false" w:line="223" w:lineRule="atLeast"/>
        <w:contextualSpacing w:val="0"/>
        <w:widowControl w:val="0"/>
        <w:ind w:left="0" w:right="0" w:firstLine="0"/>
        <w:jc w:val="both"/>
        <w:rPr>
          <w:rFonts w:ascii="Calibri" w:eastAsia="Calibri" w:hAnsi="Calibri" w:cs="Calibri"/>
          <w:b w:val="0"/>
          <w:i w:val="0"/>
          <w:iCs w:val="0"/>
          <w:caps w:val="0"/>
          <w:strike w:val="0"/>
          <w:dstrike w:val="0"/>
          <w:color w:val="auto"/>
          <w:sz w:val="22"/>
          <w:spacing w:val="0"/>
          <w:w w:val="100"/>
          <w:szCs w:val="22"/>
          <w:u w:val="none"/>
          <w:vertAlign w:val="baseline"/>
        </w:rPr>
      </w:pPr>
      <w:r>
        <w:rPr>
          <w:rFonts w:ascii="Calibri" w:eastAsia="Calibri" w:hAnsi="Calibri" w:cs="Calibri"/>
          <w:b w:val="0"/>
          <w:i w:val="0"/>
          <w:iCs w:val="0"/>
          <w:caps w:val="0"/>
          <w:strike w:val="0"/>
          <w:dstrike w:val="0"/>
          <w:sz w:val="22"/>
          <w:w w:val="100"/>
          <w:szCs w:val="22"/>
          <w:u w:val="none"/>
        </w:rPr>
        <w:t xml:space="preserve">It is clarified that the Compliance Questionnaire is a means for the Council to have a higher level of satisfaction of compliance by the Appointed Actuaries and does not amount to certification that the Appointed Actuary has complied with all the provisions of the APS fully as in the nature of things such a judgmental process should rest with the Council and the judicial authority in India. </w:t>
      </w: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23" w:lineRule="atLeast"/>
        <w:contextualSpacing w:val="0"/>
        <w:widowControl w:val="0"/>
        <w:ind w:left="0" w:right="0" w:firstLine="0"/>
        <w:jc w:val="both"/>
        <w:rPr>
          <w:rFonts w:ascii="Calibri" w:eastAsia="Calibri" w:hAnsi="Calibri" w:cs="Calibri"/>
          <w:b w:val="0"/>
          <w:i w:val="0"/>
          <w:iCs w:val="0"/>
          <w:caps w:val="0"/>
          <w:strike w:val="0"/>
          <w:dstrike w:val="0"/>
          <w:color w:val="auto"/>
          <w:sz w:val="22"/>
          <w:w w:val="100"/>
          <w:szCs w:val="22"/>
          <w:u w:val="none"/>
        </w:rPr>
      </w:pPr>
      <w:r>
        <w:rPr>
          <w:rFonts w:ascii="Calibri" w:eastAsia="Calibri" w:hAnsi="Calibri" w:cs="Calibri"/>
          <w:b w:val="0"/>
          <w:i w:val="0"/>
          <w:iCs w:val="0"/>
          <w:caps w:val="0"/>
          <w:strike w:val="0"/>
          <w:dstrike w:val="0"/>
          <w:sz w:val="22"/>
          <w:w w:val="100"/>
          <w:szCs w:val="22"/>
          <w:u w:val="none"/>
        </w:rPr>
        <w:t xml:space="preserve">It is also clarified that this Compliance Questionnaire contains those elements of the APS which are currently considered by Council as key aspects to be monitored and there could be other aspects as well which the Appointed Actuary needs to comply. </w:t>
      </w:r>
    </w:p>
    <w:p>
      <w:pPr>
        <w:pBdr>
          <w:top w:val="none" w:sz="0" w:space="0"/>
          <w:left w:val="none" w:sz="0" w:space="0"/>
          <w:bottom w:val="none" w:sz="0" w:space="0"/>
          <w:right w:val="none" w:sz="0" w:space="0"/>
        </w:pBdr>
        <w:pStyle w:val="Normal"/>
        <w:keepNext w:val="0"/>
        <w:keepLines w:val="0"/>
        <w:outlineLvl w:val="9"/>
        <w:spacing w:before="0" w:beforeAutospacing="false" w:after="248" w:afterAutospacing="false" w:line="240" w:lineRule="auto"/>
        <w:contextualSpacing w:val="0"/>
        <w:widowControl w:val="0"/>
        <w:ind w:left="0" w:right="0" w:firstLine="0"/>
        <w:jc w:val="both"/>
        <w:rPr>
          <w:rFonts w:ascii="Calibri" w:eastAsia="Calibri" w:hAnsi="Calibri" w:cs="Calibri"/>
          <w:b/>
          <w:bCs/>
          <w:i w:val="0"/>
          <w:iCs w:val="0"/>
          <w:caps w:val="0"/>
          <w:strike w:val="0"/>
          <w:dstrike w:val="0"/>
          <w:color w:val="auto"/>
          <w:sz w:val="23"/>
          <w:w w:val="100"/>
          <w:szCs w:val="23"/>
          <w:u w:val="none"/>
        </w:rPr>
      </w:pPr>
    </w:p>
    <w:p>
      <w:pPr>
        <w:pBdr>
          <w:top w:val="none" w:sz="0" w:space="0"/>
          <w:left w:val="none" w:sz="0" w:space="0"/>
          <w:bottom w:val="none" w:sz="0" w:space="0"/>
          <w:right w:val="none" w:sz="0" w:space="0"/>
        </w:pBdr>
        <w:pStyle w:val="Normal"/>
        <w:keepNext w:val="0"/>
        <w:keepLines w:val="0"/>
        <w:outlineLvl w:val="9"/>
        <w:spacing w:before="0" w:beforeAutospacing="false" w:after="248" w:afterAutospacing="false" w:line="240" w:lineRule="auto"/>
        <w:contextualSpacing w:val="0"/>
        <w:widowControl w:val="0"/>
        <w:ind w:left="0" w:right="0" w:firstLine="0"/>
        <w:jc w:val="both"/>
        <w:rPr>
          <w:rFonts w:ascii="Calibri" w:eastAsia="Calibri" w:hAnsi="Calibri" w:cs="Calibri"/>
          <w:b w:val="0"/>
          <w:i w:val="0"/>
          <w:iCs w:val="0"/>
          <w:caps w:val="0"/>
          <w:strike w:val="0"/>
          <w:dstrike w:val="0"/>
          <w:color w:val="auto"/>
          <w:sz w:val="22"/>
          <w:spacing w:val="0"/>
          <w:w w:val="100"/>
          <w:szCs w:val="22"/>
          <w:u w:val="none"/>
          <w:vertAlign w:val="baseline"/>
        </w:rPr>
      </w:pPr>
      <w:r>
        <w:rPr>
          <w:rFonts w:ascii="Calibri" w:eastAsia="Calibri" w:hAnsi="Calibri" w:cs="Calibri"/>
          <w:b w:val="0"/>
          <w:i w:val="0"/>
          <w:iCs w:val="0"/>
          <w:caps w:val="0"/>
          <w:strike w:val="0"/>
          <w:dstrike w:val="0"/>
          <w:sz w:val="22"/>
          <w:w w:val="100"/>
          <w:szCs w:val="22"/>
          <w:u w:val="none"/>
        </w:rPr>
        <w:t xml:space="preserve">Confidentiality </w:t>
      </w:r>
    </w:p>
    <w:p>
      <w:pPr>
        <w:pBdr>
          <w:top w:val="none" w:sz="0" w:space="0"/>
          <w:left w:val="none" w:sz="0" w:space="0"/>
          <w:bottom w:val="none" w:sz="0" w:space="0"/>
          <w:right w:val="none" w:sz="0" w:space="0"/>
        </w:pBdr>
        <w:pStyle w:val="CM5"/>
        <w:keepNext w:val="0"/>
        <w:keepLines w:val="0"/>
        <w:outlineLvl w:val="9"/>
        <w:spacing w:before="0" w:beforeAutospacing="false" w:after="0" w:afterAutospacing="false" w:line="240" w:lineRule="auto"/>
        <w:contextualSpacing w:val="0"/>
        <w:widowControl w:val="0"/>
        <w:ind w:left="0" w:right="0" w:firstLine="0"/>
        <w:jc w:val="both"/>
        <w:rPr>
          <w:rFonts w:ascii="Calibri" w:eastAsia="Calibri" w:hAnsi="Calibri" w:cs="Calibri"/>
          <w:b w:val="0"/>
          <w:i w:val="0"/>
          <w:iCs w:val="0"/>
          <w:caps w:val="0"/>
          <w:strike w:val="0"/>
          <w:dstrike w:val="0"/>
          <w:color w:val="auto"/>
          <w:sz w:val="22"/>
          <w:w w:val="100"/>
          <w:szCs w:val="22"/>
          <w:u w:val="none"/>
        </w:rPr>
      </w:pPr>
      <w:r>
        <w:rPr>
          <w:rFonts w:ascii="Calibri" w:eastAsia="Calibri" w:hAnsi="Calibri" w:cs="Calibri"/>
          <w:b w:val="0"/>
          <w:i w:val="0"/>
          <w:iCs w:val="0"/>
          <w:caps w:val="0"/>
          <w:strike w:val="0"/>
          <w:dstrike w:val="0"/>
          <w:sz w:val="22"/>
          <w:w w:val="100"/>
          <w:szCs w:val="22"/>
          <w:u w:val="none"/>
        </w:rPr>
        <w:t xml:space="preserve">The  contents of this Compliance Questionnaire are confidential between Council or any committee constituted by Council and the Appointed Actuary and shall under no circumstances be used against him/her without his/her knowledge and due processes as prescribed within rules of the Institute of Actuaries of India.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left"/>
        <w:rPr>
          <w:rFonts w:ascii="Impact" w:eastAsia="Impact" w:hAnsi="Impact" w:cs="Impact"/>
          <w:b w:val="0"/>
          <w:i w:val="0"/>
          <w:iCs w:val="0"/>
          <w:caps w:val="0"/>
          <w:strike w:val="0"/>
          <w:dstrike w:val="0"/>
          <w:color w:val="000000"/>
          <w:sz w:val="24"/>
          <w:w w:val="100"/>
          <w:szCs w:val="24"/>
          <w:u w:val="none"/>
        </w:rPr>
      </w:pPr>
    </w:p>
    <w:p>
      <w:pPr>
        <w:pBdr>
          <w:top w:val="none" w:sz="0" w:space="0"/>
          <w:left w:val="none" w:sz="0" w:space="0"/>
          <w:bottom w:val="none" w:sz="0" w:space="0"/>
          <w:right w:val="none" w:sz="0" w:space="0"/>
        </w:pBdr>
        <w:pStyle w:val="CM5"/>
        <w:keepNext w:val="0"/>
        <w:keepLines w:val="0"/>
        <w:outlineLvl w:val="9"/>
        <w:spacing w:before="0" w:beforeAutospacing="false" w:after="358" w:afterAutospacing="false" w:line="240" w:lineRule="auto"/>
        <w:contextualSpacing w:val="0"/>
        <w:widowControl w:val="0"/>
        <w:ind w:left="0" w:right="0" w:firstLine="0"/>
        <w:jc w:val="both"/>
        <w:rPr>
          <w:rFonts w:ascii="Arial" w:eastAsia="Arial" w:hAnsi="Arial" w:cs="Arial"/>
          <w:b w:val="0"/>
          <w:i w:val="0"/>
          <w:iCs w:val="0"/>
          <w:caps w:val="0"/>
          <w:strike w:val="0"/>
          <w:dstrike w:val="0"/>
          <w:color w:val="auto"/>
          <w:sz w:val="23"/>
          <w:w w:val="100"/>
          <w:szCs w:val="23"/>
          <w:u w:val="none"/>
        </w:rPr>
      </w:pPr>
      <w:r>
        <w:rPr>
          <w:rFonts w:ascii="Arial" w:eastAsia="Arial" w:hAnsi="Arial" w:cs="Arial"/>
          <w:b/>
          <w:bCs/>
          <w:i w:val="0"/>
          <w:iCs w:val="0"/>
          <w:caps w:val="0"/>
          <w:strike w:val="0"/>
          <w:dstrike w:val="0"/>
          <w:sz w:val="23"/>
          <w:w w:val="100"/>
          <w:szCs w:val="23"/>
          <w:u w:val="none"/>
        </w:rPr>
        <w:t xml:space="preserve">The Professional Compliance Questionnaire (PCQ) </w:t>
      </w:r>
    </w:p>
    <w:p>
      <w:pPr>
        <w:pBdr>
          <w:top w:val="none" w:sz="0" w:space="0"/>
          <w:left w:val="none" w:sz="0" w:space="0"/>
          <w:bottom w:val="none" w:sz="0" w:space="0"/>
          <w:right w:val="none" w:sz="0" w:space="0"/>
        </w:pBdr>
        <w:pStyle w:val="CM5"/>
        <w:keepNext w:val="0"/>
        <w:keepLines w:val="0"/>
        <w:outlineLvl w:val="9"/>
        <w:spacing w:before="0" w:beforeAutospacing="false" w:after="358" w:afterAutospacing="false" w:line="240" w:lineRule="auto"/>
        <w:contextualSpacing w:val="0"/>
        <w:widowControl w:val="0"/>
        <w:ind w:left="0" w:right="0" w:firstLine="0"/>
        <w:jc w:val="both"/>
        <w:rPr>
          <w:rFonts w:ascii="Arial" w:eastAsia="Arial" w:hAnsi="Arial" w:cs="Arial"/>
          <w:b/>
          <w:bCs/>
          <w:i w:val="0"/>
          <w:iCs w:val="0"/>
          <w:caps w:val="0"/>
          <w:strike w:val="0"/>
          <w:dstrike w:val="0"/>
          <w:color w:val="auto"/>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A: The Appointed Actuary </w:t>
      </w:r>
    </w:p>
    <w:tbl>
      <w:tblPr>
        <w:tblW w:w="0" w:type="auto"/>
        <w:jc w:val="left"/>
        <w:tblInd w:w="0" w:type="dxa"/>
        <w:tblCellMar>
          <w:top w:w="0" w:type="dxa"/>
          <w:left w:w="108" w:type="dxa"/>
          <w:bottom w:w="0" w:type="dxa"/>
          <w:right w:w="108" w:type="dxa"/>
        </w:tblCellMar>
        <w:tblBorders/>
        <w:shd w:fill="auto" w:color="auto"/>
      </w:tblPr>
      <w:tblGrid>
        <w:gridCol w:w="1458"/>
        <w:gridCol w:w="5580"/>
        <w:gridCol w:w="23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45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center"/>
              <w:rPr>
                <w:rFonts w:ascii="Arial" w:eastAsia="Arial" w:hAnsi="Arial" w:cs="Arial"/>
                <w:b/>
                <w:i w:val="0"/>
                <w:iCs w:val="0"/>
                <w:caps w:val="0"/>
                <w:strike w:val="0"/>
                <w:dstrike w:val="0"/>
                <w:color w:val="000000"/>
                <w:sz w:val="22"/>
                <w:w w:val="100"/>
                <w:szCs w:val="22"/>
                <w:u w:val="none"/>
              </w:rPr>
            </w:pPr>
            <w:r>
              <w:rPr>
                <w:rFonts w:ascii="Arial" w:eastAsia="Arial" w:hAnsi="Arial" w:cs="Arial"/>
                <w:b/>
                <w:i w:val="0"/>
                <w:iCs w:val="0"/>
                <w:caps w:val="0"/>
                <w:strike w:val="0"/>
                <w:dstrike w:val="0"/>
                <w:sz w:val="22"/>
                <w:w w:val="100"/>
                <w:szCs w:val="22"/>
                <w:u w:val="none"/>
              </w:rPr>
              <w:t xml:space="preserve">Question No</w:t>
            </w:r>
          </w:p>
        </w:tc>
        <w:tc>
          <w:tcPr>
            <w:tcW w:w="558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center"/>
              <w:rPr>
                <w:rFonts w:ascii="Arial" w:eastAsia="Arial" w:hAnsi="Arial" w:cs="Arial"/>
                <w:b/>
                <w:i w:val="0"/>
                <w:iCs w:val="0"/>
                <w:caps w:val="0"/>
                <w:strike w:val="0"/>
                <w:dstrike w:val="0"/>
                <w:color w:val="000000"/>
                <w:sz w:val="22"/>
                <w:w w:val="100"/>
                <w:szCs w:val="22"/>
                <w:u w:val="none"/>
              </w:rPr>
            </w:pPr>
            <w:r>
              <w:rPr>
                <w:rFonts w:ascii="Arial" w:eastAsia="Arial" w:hAnsi="Arial" w:cs="Arial"/>
                <w:b/>
                <w:i w:val="0"/>
                <w:iCs w:val="0"/>
                <w:caps w:val="0"/>
                <w:strike w:val="0"/>
                <w:dstrike w:val="0"/>
                <w:color w:val="000000"/>
                <w:sz w:val="22"/>
                <w:w w:val="100"/>
                <w:szCs w:val="22"/>
                <w:u w:val="none"/>
              </w:rPr>
              <w:t xml:space="preserve">Question and link to APS 2</w:t>
            </w:r>
          </w:p>
        </w:tc>
        <w:tc>
          <w:tcPr>
            <w:tcW w:w="235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center"/>
              <w:rPr>
                <w:rFonts w:ascii="Arial" w:eastAsia="Arial" w:hAnsi="Arial" w:cs="Arial"/>
                <w:b/>
                <w:i w:val="0"/>
                <w:iCs w:val="0"/>
                <w:caps w:val="0"/>
                <w:strike w:val="0"/>
                <w:dstrike w:val="0"/>
                <w:color w:val="000000"/>
                <w:sz w:val="22"/>
                <w:w w:val="100"/>
                <w:szCs w:val="22"/>
                <w:u w:val="none"/>
              </w:rPr>
            </w:pPr>
            <w:r>
              <w:rPr>
                <w:rFonts w:ascii="Arial" w:eastAsia="Arial" w:hAnsi="Arial" w:cs="Arial"/>
                <w:b/>
                <w:i w:val="0"/>
                <w:iCs w:val="0"/>
                <w:caps w:val="0"/>
                <w:strike w:val="0"/>
                <w:dstrike w:val="0"/>
                <w:color w:val="000000"/>
                <w:sz w:val="22"/>
                <w:w w:val="100"/>
                <w:szCs w:val="22"/>
                <w:u w:val="none"/>
              </w:rPr>
              <w:t xml:space="preserve">Reply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hRule="atLeast" w:val="20"/>
        </w:trPr>
        <w:tc>
          <w:tcPr>
            <w:tcW w:w="145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left"/>
              <w:rPr>
                <w:rFonts w:ascii="Arial" w:eastAsia="Arial" w:hAnsi="Arial" w:cs="Arial"/>
                <w:b w:val="0"/>
                <w:i w:val="0"/>
                <w:iCs w:val="0"/>
                <w:caps w:val="0"/>
                <w:strike w:val="0"/>
                <w:dstrike w:val="0"/>
                <w:color w:val="000000"/>
                <w:sz w:val="22"/>
                <w:w w:val="100"/>
                <w:szCs w:val="22"/>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left"/>
              <w:rPr>
                <w:rFonts w:ascii="Arial" w:eastAsia="Arial" w:hAnsi="Arial" w:cs="Arial"/>
                <w:b w:val="0"/>
                <w:i w:val="0"/>
                <w:iCs w:val="0"/>
                <w:caps w:val="0"/>
                <w:strike w:val="0"/>
                <w:dstrike w:val="0"/>
                <w:color w:val="000000"/>
                <w:sz w:val="22"/>
                <w:spacing w:val="0"/>
                <w:w w:val="100"/>
                <w:szCs w:val="22"/>
                <w:u w:val="none"/>
                <w:vertAlign w:val="baseline"/>
              </w:rPr>
            </w:pPr>
            <w:r>
              <w:rPr>
                <w:rFonts w:ascii="Arial" w:eastAsia="Arial" w:hAnsi="Arial" w:cs="Arial"/>
                <w:b w:val="0"/>
                <w:i w:val="0"/>
                <w:iCs w:val="0"/>
                <w:caps w:val="0"/>
                <w:strike w:val="0"/>
                <w:dstrike w:val="0"/>
                <w:sz w:val="22"/>
                <w:w w:val="100"/>
                <w:szCs w:val="22"/>
                <w:u w:val="none"/>
              </w:rPr>
              <w:t xml:space="preserve">1</w:t>
            </w:r>
          </w:p>
        </w:tc>
        <w:tc>
          <w:tcPr>
            <w:tcW w:w="558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numPr>
                <w:ilvl w:val="0"/>
                <w:numId w:val="2"/>
              </w:numPr>
              <w:keepNext w:val="0"/>
              <w:keepLines w:val="0"/>
              <w:outlineLvl w:val="9"/>
              <w:spacing w:before="0" w:beforeAutospacing="false" w:after="0" w:afterAutospacing="false" w:line="240" w:lineRule="auto"/>
              <w:contextualSpacing w:val="0"/>
              <w:widowControl w:val="0"/>
              <w:ind w:left="522" w:right="0" w:hanging="450"/>
              <w:jc w:val="left"/>
              <w:rPr>
                <w:rFonts w:ascii="Arial" w:eastAsia="Arial" w:hAnsi="Arial" w:cs="Arial"/>
                <w:b/>
                <w:i w:val="0"/>
                <w:iCs w:val="0"/>
                <w:caps w:val="0"/>
                <w:strike w:val="0"/>
                <w:dstrike w:val="0"/>
                <w:color w:val="000000"/>
                <w:sz w:val="22"/>
                <w:w w:val="100"/>
                <w:szCs w:val="22"/>
                <w:u w:val="none"/>
              </w:rPr>
            </w:pPr>
            <w:r>
              <w:rPr>
                <w:rFonts w:ascii="Arial" w:eastAsia="Arial" w:hAnsi="Arial" w:cs="Arial"/>
                <w:b/>
                <w:i w:val="0"/>
                <w:iCs w:val="0"/>
                <w:caps w:val="0"/>
                <w:strike w:val="0"/>
                <w:dstrike w:val="0"/>
                <w:sz w:val="22"/>
                <w:w w:val="100"/>
                <w:szCs w:val="22"/>
                <w:u w:val="none"/>
              </w:rPr>
              <w:t xml:space="preserve">Introduction</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720" w:right="0" w:firstLine="0"/>
              <w:jc w:val="left"/>
              <w:rPr>
                <w:rFonts w:ascii="Arial" w:eastAsia="Arial" w:hAnsi="Arial" w:cs="Arial"/>
                <w:b w:val="0"/>
                <w:i w:val="0"/>
                <w:iCs w:val="0"/>
                <w:caps w:val="0"/>
                <w:strike w:val="0"/>
                <w:dstrike w:val="0"/>
                <w:color w:val="000000"/>
                <w:sz w:val="22"/>
                <w:w w:val="100"/>
                <w:szCs w:val="22"/>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162" w:right="0" w:firstLine="0"/>
              <w:jc w:val="both"/>
              <w:rPr>
                <w:rFonts w:ascii="Arial" w:eastAsia="Arial" w:hAnsi="Arial" w:cs="Arial"/>
                <w:b w:val="0"/>
                <w:i w:val="0"/>
                <w:iCs w:val="0"/>
                <w:caps w:val="0"/>
                <w:strike w:val="0"/>
                <w:dstrike w:val="0"/>
                <w:color w:val="000000"/>
                <w:sz w:val="22"/>
                <w:w w:val="100"/>
                <w:szCs w:val="22"/>
                <w:u w:val="none"/>
              </w:rPr>
            </w:pPr>
            <w:r>
              <w:rPr>
                <w:rFonts w:ascii="Arial" w:eastAsia="Arial" w:hAnsi="Arial" w:cs="Arial"/>
                <w:b w:val="0"/>
                <w:i w:val="0"/>
                <w:iCs w:val="0"/>
                <w:caps w:val="0"/>
                <w:strike w:val="0"/>
                <w:dstrike w:val="0"/>
                <w:sz w:val="22"/>
                <w:w w:val="100"/>
                <w:szCs w:val="22"/>
                <w:u w:val="none"/>
              </w:rPr>
              <w:t xml:space="preserve">Have you fully complied with the APS 2?</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162" w:right="0" w:firstLine="0"/>
              <w:jc w:val="both"/>
              <w:rPr>
                <w:rFonts w:ascii="Arial" w:eastAsia="Arial" w:hAnsi="Arial" w:cs="Arial"/>
                <w:b w:val="0"/>
                <w:i w:val="0"/>
                <w:iCs w:val="0"/>
                <w:caps w:val="0"/>
                <w:strike w:val="0"/>
                <w:dstrike w:val="0"/>
                <w:color w:val="000000"/>
                <w:sz w:val="22"/>
                <w:spacing w:val="0"/>
                <w:w w:val="100"/>
                <w:szCs w:val="22"/>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162" w:right="0" w:firstLine="0"/>
              <w:jc w:val="both"/>
              <w:rPr>
                <w:rFonts w:ascii="Arial" w:eastAsia="Arial" w:hAnsi="Arial" w:cs="Arial"/>
                <w:b w:val="0"/>
                <w:i w:val="0"/>
                <w:iCs w:val="0"/>
                <w:caps w:val="0"/>
                <w:strike w:val="0"/>
                <w:dstrike w:val="0"/>
                <w:color w:val="000000"/>
                <w:sz w:val="22"/>
                <w:spacing w:val="0"/>
                <w:w w:val="100"/>
                <w:szCs w:val="22"/>
                <w:u w:val="none"/>
                <w:vertAlign w:val="baseline"/>
              </w:rPr>
            </w:pPr>
            <w:r>
              <w:rPr>
                <w:rFonts w:ascii="Arial" w:eastAsia="Arial" w:hAnsi="Arial" w:cs="Arial"/>
                <w:b w:val="0"/>
                <w:i w:val="0"/>
                <w:iCs w:val="0"/>
                <w:caps w:val="0"/>
                <w:strike w:val="0"/>
                <w:dstrike w:val="0"/>
                <w:sz w:val="22"/>
                <w:w w:val="100"/>
                <w:szCs w:val="22"/>
                <w:u w:val="none"/>
              </w:rPr>
              <w:t xml:space="preserve">If not, have you ensured that the reports given by you were suitably qualified?</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162" w:right="0" w:firstLine="0"/>
              <w:jc w:val="both"/>
              <w:rPr>
                <w:rFonts w:ascii="Arial" w:eastAsia="Arial" w:hAnsi="Arial" w:cs="Arial"/>
                <w:b w:val="0"/>
                <w:i w:val="0"/>
                <w:iCs w:val="0"/>
                <w:caps w:val="0"/>
                <w:strike w:val="0"/>
                <w:dstrike w:val="0"/>
                <w:color w:val="000000"/>
                <w:sz w:val="22"/>
                <w:spacing w:val="0"/>
                <w:w w:val="100"/>
                <w:szCs w:val="22"/>
                <w:u w:val="none"/>
                <w:vertAlign w:val="baseline"/>
              </w:rPr>
            </w:pPr>
          </w:p>
        </w:tc>
        <w:tc>
          <w:tcPr>
            <w:tcW w:w="235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left"/>
              <w:rPr>
                <w:rFonts w:ascii="Arial" w:eastAsia="Arial" w:hAnsi="Arial" w:cs="Arial"/>
                <w:b w:val="0"/>
                <w:i w:val="0"/>
                <w:iCs w:val="0"/>
                <w:caps w:val="0"/>
                <w:strike w:val="0"/>
                <w:dstrike w:val="0"/>
                <w:color w:val="000000"/>
                <w:sz w:val="22"/>
                <w:w w:val="100"/>
                <w:szCs w:val="22"/>
                <w:u w:val="none"/>
              </w:rPr>
            </w:pPr>
          </w:p>
        </w:tc>
      </w:tr>
    </w:tbl>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left"/>
        <w:rPr>
          <w:rFonts w:ascii="Impact" w:eastAsia="Impact" w:hAnsi="Impact" w:cs="Impact"/>
          <w:b w:val="0"/>
          <w:i w:val="0"/>
          <w:iCs w:val="0"/>
          <w:caps w:val="0"/>
          <w:strike w:val="0"/>
          <w:dstrike w:val="0"/>
          <w:color w:val="000000"/>
          <w:sz w:val="24"/>
          <w:w w:val="100"/>
          <w:szCs w:val="24"/>
          <w:u w:val="none"/>
        </w:rPr>
      </w:pPr>
    </w:p>
    <w:tbl>
      <w:tblPr>
        <w:tblW w:w="9378" w:type="dxa"/>
        <w:jc w:val="left"/>
        <w:tblInd w:w="0" w:type="dxa"/>
        <w:tblCellMar>
          <w:top w:w="0" w:type="dxa"/>
          <w:left w:w="108" w:type="dxa"/>
          <w:bottom w:w="0" w:type="dxa"/>
          <w:right w:w="108" w:type="dxa"/>
        </w:tblCellMar>
        <w:tblBorders/>
        <w:shd w:fill="auto" w:color="auto"/>
        <w:tblLayout w:type="fixed"/>
      </w:tblPr>
      <w:tblGrid>
        <w:gridCol w:w="1410"/>
        <w:gridCol w:w="5628"/>
        <w:gridCol w:w="2340"/>
      </w:tblGrid>
      <w:tr>
        <w:tblPrEx>
          <w:tblBorders>
            <w:top w:val="none" w:sz="0" w:space="0"/>
            <w:left w:val="none" w:sz="0" w:space="0"/>
            <w:bottom w:val="none" w:sz="0" w:space="0"/>
            <w:right w:val="none" w:sz="0" w:space="0"/>
            <w:insideH w:val="none" w:sz="0" w:space="0"/>
            <w:insideV w:val="single" w:color="000000" w:sz="4" w:space="0"/>
          </w:tblBorders>
          <w:tblCellMar>
            <w:top w:w="0" w:type="dxa"/>
            <w:left w:w="108" w:type="dxa"/>
            <w:bottom w:w="0" w:type="dxa"/>
            <w:right w:w="108" w:type="dxa"/>
          </w:tblCellMar>
        </w:tblPrEx>
        <w:trPr>
          <w:trHeight w:hRule="atLeast" w:val="70"/>
        </w:trPr>
        <w:tc>
          <w:tcPr>
            <w:tcW w:w="141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sz w:val="23"/>
                <w:w w:val="100"/>
                <w:szCs w:val="23"/>
                <w:u w:val="none"/>
              </w:rPr>
              <w:t xml:space="preserve">2 </w:t>
            </w:r>
          </w:p>
        </w:tc>
        <w:tc>
          <w:tcPr>
            <w:tcW w:w="562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bCs/>
                <w:i w:val="0"/>
                <w:iCs w:val="0"/>
                <w:caps w:val="0"/>
                <w:strike w:val="0"/>
                <w:dstrike w:val="0"/>
                <w:color w:val="000000"/>
                <w:sz w:val="21"/>
                <w:w w:val="100"/>
                <w:szCs w:val="21"/>
                <w:u w:val="none"/>
              </w:rPr>
            </w:pPr>
            <w:r>
              <w:rPr>
                <w:rFonts w:ascii="Arial" w:eastAsia="Arial" w:hAnsi="Arial" w:cs="Arial"/>
                <w:b/>
                <w:bCs/>
                <w:i w:val="0"/>
                <w:iCs w:val="0"/>
                <w:caps w:val="0"/>
                <w:strike w:val="0"/>
                <w:dstrike w:val="0"/>
                <w:sz w:val="21"/>
                <w:w w:val="100"/>
                <w:szCs w:val="21"/>
                <w:u w:val="none"/>
              </w:rPr>
              <w:t xml:space="preserve">2. The Actuarial Valuation:</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2.1: </w:t>
            </w:r>
            <w:r>
              <w:rPr>
                <w:rFonts w:ascii="Arial" w:eastAsia="Arial" w:hAnsi="Arial" w:cs="Arial"/>
                <w:b w:val="0"/>
                <w:i w:val="0"/>
                <w:iCs w:val="0"/>
                <w:caps w:val="0"/>
                <w:strike w:val="0"/>
                <w:dstrike w:val="0"/>
                <w:sz w:val="21"/>
                <w:w w:val="100"/>
                <w:szCs w:val="21"/>
                <w:u w:val="none"/>
              </w:rPr>
              <w:t xml:space="preserve">Are your assumptions for the valuation parameters based on the insurer’s expected experience and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do those include appropriate margins for adverse deviation with the margins reflecting the degree of confidence you have in the assumption made about the expected level of those parameters?</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 </w:t>
            </w:r>
            <w:r>
              <w:rPr>
                <w:rFonts w:ascii="Arial" w:eastAsia="Arial" w:hAnsi="Arial" w:cs="Arial"/>
                <w:b/>
                <w:bCs/>
                <w:i w:val="0"/>
                <w:iCs w:val="0"/>
                <w:caps w:val="0"/>
                <w:strike w:val="0"/>
                <w:dstrike w:val="0"/>
                <w:sz w:val="21"/>
                <w:w w:val="100"/>
                <w:szCs w:val="21"/>
                <w:u w:val="none"/>
              </w:rPr>
              <w:t xml:space="preserve">2.2: </w:t>
            </w:r>
            <w:r>
              <w:rPr>
                <w:rFonts w:ascii="Arial" w:eastAsia="Arial" w:hAnsi="Arial" w:cs="Arial"/>
                <w:b w:val="0"/>
                <w:i w:val="0"/>
                <w:iCs w:val="0"/>
                <w:caps w:val="0"/>
                <w:strike w:val="0"/>
                <w:dstrike w:val="0"/>
                <w:sz w:val="21"/>
                <w:w w:val="100"/>
                <w:szCs w:val="21"/>
                <w:u w:val="none"/>
              </w:rPr>
              <w:t xml:space="preserve">Have you ensured that the reserves are at least as large as higher of any guaranteed surrender value or special surrender value and Are never less than zero?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2.3: </w:t>
            </w:r>
            <w:r>
              <w:rPr>
                <w:rFonts w:ascii="Arial" w:eastAsia="Arial" w:hAnsi="Arial" w:cs="Arial"/>
                <w:b w:val="0"/>
                <w:i w:val="0"/>
                <w:iCs w:val="0"/>
                <w:caps w:val="0"/>
                <w:strike w:val="0"/>
                <w:dstrike w:val="0"/>
                <w:sz w:val="21"/>
                <w:w w:val="100"/>
                <w:szCs w:val="21"/>
                <w:u w:val="none"/>
              </w:rPr>
              <w:t xml:space="preserve">Have you used Gross Premium Method for valuation for all classes/segments of the business and/or such methods as allowed in IRDAI Regulations?</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not, have you specified that the valuation method adopted is in accordance with the generally accepted actuarial principles? Please state in brief if you are satisfied that the methods used shall provide reserves as would be provided by GPV method.</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2.4: </w:t>
            </w:r>
            <w:r>
              <w:rPr>
                <w:rFonts w:ascii="Arial" w:eastAsia="Arial" w:hAnsi="Arial" w:cs="Arial"/>
                <w:b w:val="0"/>
                <w:i w:val="0"/>
                <w:iCs w:val="0"/>
                <w:caps w:val="0"/>
                <w:strike w:val="0"/>
                <w:dstrike w:val="0"/>
                <w:sz w:val="21"/>
                <w:w w:val="100"/>
                <w:szCs w:val="21"/>
                <w:u w:val="none"/>
              </w:rPr>
              <w:t xml:space="preserve">Have you considered the resilience of the valuation results to changes in circumstances and provided appropriate margins in the valuation basis or an additional reserve? </w:t>
            </w:r>
            <w:r>
              <w:rPr>
                <w:rFonts w:ascii="Impact" w:eastAsia="Impact" w:hAnsi="Impact" w:cs="Impact"/>
                <w:b w:val="0"/>
                <w:i w:val="0"/>
                <w:iCs w:val="0"/>
                <w:caps w:val="0"/>
                <w:strike w:val="0"/>
                <w:dstrike w:val="0"/>
                <w:sz w:val="21"/>
                <w:w w:val="100"/>
                <w:szCs w:val="21"/>
                <w:u w:val="none"/>
              </w:rPr>
              <w:br/>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changes in the circumstances resulting in a change  in the aggregate  liability are not matched by a change in the market value of the corresponding assets, have you considered as to what provision is required as a contingency margin, having regard to the consequences, should the provision prove to be insufficient?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2.5: </w:t>
            </w:r>
            <w:r>
              <w:rPr>
                <w:rFonts w:ascii="Arial" w:eastAsia="Arial" w:hAnsi="Arial" w:cs="Arial"/>
                <w:b w:val="0"/>
                <w:i w:val="0"/>
                <w:iCs w:val="0"/>
                <w:caps w:val="0"/>
                <w:strike w:val="0"/>
                <w:dstrike w:val="0"/>
                <w:sz w:val="21"/>
                <w:w w:val="100"/>
                <w:szCs w:val="21"/>
                <w:u w:val="none"/>
              </w:rPr>
              <w:t xml:space="preserve">Have you ensured that the valuation basis for participating business are, in particular, consistent with the provisions of 5 (5) (d) of Schedule II of the IRDA ALSM Regulations?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Further, have you ensured that the liability in the changed investment conditions, as envisaged in 2.4 above, adequately covers latest view of policyholders’ reasonable expectations?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2.6: </w:t>
            </w:r>
            <w:r>
              <w:rPr>
                <w:rFonts w:ascii="Arial" w:eastAsia="Arial" w:hAnsi="Arial" w:cs="Arial"/>
                <w:b w:val="0"/>
                <w:i w:val="0"/>
                <w:iCs w:val="0"/>
                <w:caps w:val="0"/>
                <w:strike w:val="0"/>
                <w:dstrike w:val="0"/>
                <w:sz w:val="21"/>
                <w:w w:val="100"/>
                <w:szCs w:val="21"/>
                <w:u w:val="none"/>
              </w:rPr>
              <w:t xml:space="preserve">Have you ensured that </w:t>
            </w:r>
          </w:p>
          <w:p>
            <w:pPr>
              <w:pBdr>
                <w:top w:val="none" w:sz="0" w:space="0"/>
                <w:left w:val="none" w:sz="0" w:space="0"/>
                <w:bottom w:val="none" w:sz="0" w:space="0"/>
                <w:right w:val="none" w:sz="0" w:space="0"/>
              </w:pBdr>
              <w:pStyle w:val="Default"/>
              <w:numPr>
                <w:ilvl w:val="0"/>
                <w:numId w:val="7"/>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Neither the valuation method </w:t>
            </w:r>
          </w:p>
          <w:p>
            <w:pPr>
              <w:pBdr>
                <w:top w:val="none" w:sz="0" w:space="0"/>
                <w:left w:val="none" w:sz="0" w:space="0"/>
                <w:bottom w:val="none" w:sz="0" w:space="0"/>
                <w:right w:val="none" w:sz="0" w:space="0"/>
              </w:pBdr>
              <w:pStyle w:val="Default"/>
              <w:numPr>
                <w:ilvl w:val="0"/>
                <w:numId w:val="7"/>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Nor valuation assumptions are subject to arbitrary discontinuities from one year to the next and any changes necessitated because of environmental changes are capable of justification.</w:t>
            </w:r>
          </w:p>
          <w:p>
            <w:pPr>
              <w:pBdr>
                <w:top w:val="none" w:sz="0" w:space="0"/>
                <w:left w:val="none" w:sz="0" w:space="0"/>
                <w:bottom w:val="none" w:sz="0" w:space="0"/>
                <w:right w:val="none" w:sz="0" w:space="0"/>
              </w:pBdr>
              <w:pStyle w:val="Default"/>
              <w:numPr>
                <w:ilvl w:val="0"/>
                <w:numId w:val="7"/>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State briefly as to how these are justified.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720" w:right="0" w:firstLine="0"/>
              <w:jc w:val="both"/>
              <w:rPr>
                <w:rFonts w:ascii="Impact" w:eastAsia="Impact" w:hAnsi="Impact" w:cs="Impact"/>
                <w:b w:val="0"/>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bCs/>
                <w:i w:val="0"/>
                <w:iCs w:val="0"/>
                <w:caps w:val="0"/>
                <w:strike w:val="0"/>
                <w:dstrike w:val="0"/>
                <w:sz w:val="21"/>
                <w:w w:val="100"/>
                <w:szCs w:val="21"/>
                <w:u w:val="none"/>
              </w:rPr>
              <w:t xml:space="preserve">2.7: </w:t>
            </w:r>
            <w:r>
              <w:rPr>
                <w:rFonts w:ascii="Arial" w:eastAsia="Arial" w:hAnsi="Arial" w:cs="Arial"/>
                <w:b w:val="0"/>
                <w:i w:val="0"/>
                <w:iCs w:val="0"/>
                <w:caps w:val="0"/>
                <w:strike w:val="0"/>
                <w:dstrike w:val="0"/>
                <w:sz w:val="21"/>
                <w:w w:val="100"/>
                <w:szCs w:val="21"/>
                <w:u w:val="none"/>
              </w:rPr>
              <w:t xml:space="preserve">Have you described in your valuation report how allowance for tax has been made?</w:t>
            </w:r>
          </w:p>
        </w:tc>
        <w:tc>
          <w:tcPr>
            <w:tcW w:w="234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4"/>
                <w:w w:val="100"/>
                <w:szCs w:val="24"/>
                <w:u w:val="none"/>
              </w:rPr>
            </w:pPr>
          </w:p>
        </w:tc>
      </w:tr>
    </w:tbl>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4"/>
          <w:w w:val="100"/>
          <w:szCs w:val="24"/>
          <w:u w:val="none"/>
        </w:rPr>
      </w:pPr>
    </w:p>
    <w:tbl>
      <w:tblPr>
        <w:tblW w:w="9378" w:type="dxa"/>
        <w:jc w:val="left"/>
        <w:tblInd w:w="0" w:type="dxa"/>
        <w:tblCellMar>
          <w:top w:w="0" w:type="dxa"/>
          <w:left w:w="108" w:type="dxa"/>
          <w:bottom w:w="0" w:type="dxa"/>
          <w:right w:w="108" w:type="dxa"/>
        </w:tblCellMar>
        <w:tblBorders/>
        <w:shd w:fill="auto" w:color="auto"/>
        <w:tblLayout w:type="fixed"/>
      </w:tblPr>
      <w:tblGrid>
        <w:gridCol w:w="1424"/>
        <w:gridCol w:w="6046"/>
        <w:gridCol w:w="1908"/>
      </w:tblGrid>
      <w:tr>
        <w:tblPrEx>
          <w:tblBorders>
            <w:top w:val="none" w:sz="0" w:space="0"/>
            <w:left w:val="none" w:sz="0" w:space="0"/>
            <w:bottom w:val="none" w:sz="0" w:space="0"/>
            <w:right w:val="none" w:sz="0" w:space="0"/>
            <w:insideH w:val="none" w:sz="0" w:space="0"/>
            <w:insideV w:val="single" w:color="000000" w:sz="4" w:space="0"/>
          </w:tblBorders>
          <w:tblCellMar>
            <w:top w:w="0" w:type="dxa"/>
            <w:left w:w="108" w:type="dxa"/>
            <w:bottom w:w="0" w:type="dxa"/>
            <w:right w:w="108" w:type="dxa"/>
          </w:tblCellMar>
        </w:tblPrEx>
        <w:trPr>
          <w:trHeight w:hRule="atLeast" w:val="5866"/>
        </w:trPr>
        <w:tc>
          <w:tcPr>
            <w:tcW w:w="141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sz w:val="23"/>
                <w:w w:val="100"/>
                <w:szCs w:val="23"/>
                <w:u w:val="none"/>
              </w:rPr>
              <w:t xml:space="preserve">3 </w:t>
            </w:r>
          </w:p>
        </w:tc>
        <w:tc>
          <w:tcPr>
            <w:tcW w:w="598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bCs/>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color w:val="000000"/>
                <w:sz w:val="21"/>
                <w:w w:val="100"/>
                <w:szCs w:val="21"/>
                <w:u w:val="none"/>
              </w:rPr>
              <w:t xml:space="preserve">3. Valuation Parameters: </w:t>
            </w: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color w:val="000000"/>
                <w:sz w:val="21"/>
                <w:w w:val="100"/>
                <w:szCs w:val="21"/>
                <w:u w:val="none"/>
              </w:rPr>
              <w:t xml:space="preserve">3.1: </w:t>
            </w:r>
            <w:r>
              <w:rPr>
                <w:rFonts w:ascii="Arial" w:eastAsia="Arial" w:hAnsi="Arial" w:cs="Arial"/>
                <w:b w:val="0"/>
                <w:i w:val="0"/>
                <w:iCs w:val="0"/>
                <w:caps w:val="0"/>
                <w:strike w:val="0"/>
                <w:dstrike w:val="0"/>
                <w:color w:val="000000"/>
                <w:sz w:val="21"/>
                <w:w w:val="100"/>
                <w:szCs w:val="21"/>
                <w:u w:val="none"/>
              </w:rPr>
              <w:t xml:space="preserve">Are the valuation bases appropriate for the block of business valued? </w:t>
            </w: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color w:val="000000"/>
                <w:sz w:val="21"/>
                <w:w w:val="100"/>
                <w:szCs w:val="21"/>
                <w:u w:val="none"/>
              </w:rPr>
              <w:t xml:space="preserve">3.2: </w:t>
            </w:r>
            <w:r>
              <w:rPr>
                <w:rFonts w:ascii="Arial" w:eastAsia="Arial" w:hAnsi="Arial" w:cs="Arial"/>
                <w:b w:val="0"/>
                <w:i w:val="0"/>
                <w:iCs w:val="0"/>
                <w:caps w:val="0"/>
                <w:strike w:val="0"/>
                <w:dstrike w:val="0"/>
                <w:color w:val="000000"/>
                <w:sz w:val="21"/>
                <w:w w:val="100"/>
                <w:szCs w:val="21"/>
                <w:u w:val="none"/>
              </w:rPr>
              <w:t xml:space="preserve">While making adjustments, if any to the published mortality table adopted, have you given due regard   to the likely future experience of the insurer , including </w:t>
            </w:r>
          </w:p>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numPr>
                <w:ilvl w:val="0"/>
                <w:numId w:val="5"/>
              </w:numPr>
              <w:keepNext w:val="0"/>
              <w:keepLines w:val="0"/>
              <w:outlineLvl w:val="9"/>
              <w:spacing w:before="0" w:beforeAutospacing="false" w:after="0" w:afterAutospacing="false" w:line="240" w:lineRule="auto"/>
              <w:contextualSpacing w:val="0"/>
              <w:widowControl w:val="0"/>
              <w:ind w:left="720" w:right="0" w:hanging="360"/>
              <w:jc w:val="both"/>
              <w:rPr>
                <w:rFonts w:ascii="Arial" w:eastAsia="Arial" w:hAnsi="Arial" w:cs="Arial"/>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The likely incidence of AIDS, and </w:t>
            </w:r>
          </w:p>
          <w:p>
            <w:pPr>
              <w:pBdr>
                <w:top w:val="none" w:sz="0" w:space="0"/>
                <w:left w:val="none" w:sz="0" w:space="0"/>
                <w:bottom w:val="none" w:sz="0" w:space="0"/>
                <w:right w:val="none" w:sz="0" w:space="0"/>
              </w:pBdr>
              <w:pStyle w:val="Default"/>
              <w:numPr>
                <w:ilvl w:val="0"/>
                <w:numId w:val="5"/>
              </w:numPr>
              <w:keepNext w:val="0"/>
              <w:keepLines w:val="0"/>
              <w:outlineLvl w:val="9"/>
              <w:spacing w:before="0" w:beforeAutospacing="false" w:after="0" w:afterAutospacing="false" w:line="240" w:lineRule="auto"/>
              <w:contextualSpacing w:val="0"/>
              <w:widowControl w:val="0"/>
              <w:ind w:left="720" w:right="0" w:hanging="36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Possible improvements in mortality?</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720" w:right="0" w:firstLine="0"/>
              <w:jc w:val="both"/>
              <w:rPr>
                <w:rFonts w:ascii="Arial" w:eastAsia="Arial" w:hAnsi="Arial" w:cs="Arial"/>
                <w:b w:val="0"/>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60" w:right="0" w:firstLine="0"/>
              <w:jc w:val="both"/>
              <w:rPr>
                <w:rFonts w:ascii="Arial" w:eastAsia="Arial" w:hAnsi="Arial" w:cs="Arial"/>
                <w:b w:val="0"/>
                <w:bCs/>
                <w:i w:val="0"/>
                <w:iCs w:val="0"/>
                <w:caps w:val="0"/>
                <w:strike w:val="0"/>
                <w:dstrike w:val="0"/>
                <w:color w:val="000000"/>
                <w:sz w:val="21"/>
                <w:w w:val="100"/>
                <w:szCs w:val="21"/>
                <w:u w:val="none"/>
              </w:rPr>
            </w:pPr>
            <w:r>
              <w:rPr>
                <w:rFonts w:ascii="Arial" w:eastAsia="Arial" w:hAnsi="Arial" w:cs="Arial"/>
                <w:b w:val="0"/>
                <w:bCs/>
                <w:i w:val="0"/>
                <w:iCs w:val="0"/>
                <w:caps w:val="0"/>
                <w:strike w:val="0"/>
                <w:dstrike w:val="0"/>
                <w:sz w:val="21"/>
                <w:w w:val="100"/>
                <w:szCs w:val="21"/>
                <w:u w:val="none"/>
              </w:rPr>
              <w:t xml:space="preserve">Have you ensured the similar treatment for morbidity rates?</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720" w:right="0" w:firstLine="0"/>
              <w:jc w:val="both"/>
              <w:rPr>
                <w:rFonts w:ascii="Arial" w:eastAsia="Arial" w:hAnsi="Arial" w:cs="Arial"/>
                <w:b w:val="0"/>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w w:val="100"/>
                <w:szCs w:val="21"/>
                <w:u w:val="none"/>
              </w:rPr>
            </w:pPr>
            <w:r>
              <w:rPr>
                <w:rFonts w:ascii="Arial" w:eastAsia="Arial" w:hAnsi="Arial" w:cs="Arial"/>
                <w:b/>
                <w:bCs/>
                <w:i w:val="0"/>
                <w:iCs w:val="0"/>
                <w:caps w:val="0"/>
                <w:strike w:val="0"/>
                <w:dstrike w:val="0"/>
                <w:sz w:val="21"/>
                <w:w w:val="100"/>
                <w:szCs w:val="21"/>
                <w:u w:val="none"/>
              </w:rPr>
              <w:t xml:space="preserve">3.3: </w:t>
            </w:r>
            <w:r>
              <w:rPr>
                <w:rFonts w:ascii="Arial" w:eastAsia="Arial" w:hAnsi="Arial" w:cs="Arial"/>
                <w:b w:val="0"/>
                <w:i w:val="0"/>
                <w:iCs w:val="0"/>
                <w:caps w:val="0"/>
                <w:strike w:val="0"/>
                <w:dstrike w:val="0"/>
                <w:sz w:val="21"/>
                <w:w w:val="100"/>
                <w:szCs w:val="21"/>
                <w:u w:val="none"/>
              </w:rPr>
              <w:t xml:space="preserve">Have you allowed for the expenses in future years for inflation and whether the rate of inflation assumed is consistent with the valuation rate of interest?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Further, after providing margin for adverse deviation in the valuation rate of interest, have you ensured that there is a margin for adverse deviation in the difference between the valuation rate of interest and the valuation inflation rate?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3.4: </w:t>
            </w:r>
            <w:r>
              <w:rPr>
                <w:rFonts w:ascii="Arial" w:eastAsia="Arial" w:hAnsi="Arial" w:cs="Arial"/>
                <w:b w:val="0"/>
                <w:i w:val="0"/>
                <w:iCs w:val="0"/>
                <w:caps w:val="0"/>
                <w:strike w:val="0"/>
                <w:dstrike w:val="0"/>
                <w:sz w:val="21"/>
                <w:w w:val="100"/>
                <w:szCs w:val="21"/>
                <w:u w:val="none"/>
              </w:rPr>
              <w:t xml:space="preserve">Have you made explicit allowance for future investment expenses?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there is no explicit allowance for future investment expenses, have you allowed for investment expenses by a prudent reduction in the valuation rate of interest?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Further, have you allowed for future expenses for paid-</w:t>
            </w:r>
            <w:r>
              <w:rPr>
                <w:rFonts w:ascii="Arial" w:eastAsia="Arial" w:hAnsi="Arial" w:cs="Arial"/>
                <w:b w:val="0"/>
                <w:i w:val="0"/>
                <w:iCs w:val="0"/>
                <w:caps w:val="0"/>
                <w:strike w:val="0"/>
                <w:dstrike w:val="0"/>
                <w:sz w:val="21"/>
                <w:w w:val="100"/>
                <w:szCs w:val="21"/>
                <w:u w:val="none"/>
              </w:rPr>
              <w:t xml:space="preserve">up policies?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3.5: </w:t>
            </w:r>
            <w:r>
              <w:rPr>
                <w:rFonts w:ascii="Arial" w:eastAsia="Arial" w:hAnsi="Arial" w:cs="Arial"/>
                <w:b w:val="0"/>
                <w:i w:val="0"/>
                <w:iCs w:val="0"/>
                <w:caps w:val="0"/>
                <w:strike w:val="0"/>
                <w:dstrike w:val="0"/>
                <w:sz w:val="21"/>
                <w:w w:val="100"/>
                <w:szCs w:val="21"/>
                <w:u w:val="none"/>
              </w:rPr>
              <w:t xml:space="preserve">Have you ensured that all references to yield in the IRDAI ALSM Regulations dealing with valuation rate of interest are interpreted to mean prospective yield gross of tax?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3.6: </w:t>
            </w:r>
            <w:r>
              <w:rPr>
                <w:rFonts w:ascii="Arial" w:eastAsia="Arial" w:hAnsi="Arial" w:cs="Arial"/>
                <w:b w:val="0"/>
                <w:i w:val="0"/>
                <w:iCs w:val="0"/>
                <w:caps w:val="0"/>
                <w:strike w:val="0"/>
                <w:dstrike w:val="0"/>
                <w:sz w:val="21"/>
                <w:w w:val="100"/>
                <w:szCs w:val="21"/>
                <w:u w:val="none"/>
              </w:rPr>
              <w:t xml:space="preserve">Have you ensured that the yield on existing assets attributable to the blocks of business being valued is used for valuing those blocks of business with due regard to prudence?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Further, have you ensured that the yields on existing assets are determined by reference to the statutory value of assets to ensure consistency between the valuation of assets and liabilities?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Have you also ensured that the derivative contracts, if any, held in connection with particular assets or liabilities are apportioned to the corresponding assets and liabilities?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3.7: </w:t>
            </w:r>
            <w:r>
              <w:rPr>
                <w:rFonts w:ascii="Arial" w:eastAsia="Arial" w:hAnsi="Arial" w:cs="Arial"/>
                <w:b w:val="0"/>
                <w:i w:val="0"/>
                <w:iCs w:val="0"/>
                <w:caps w:val="0"/>
                <w:strike w:val="0"/>
                <w:dstrike w:val="0"/>
                <w:sz w:val="21"/>
                <w:w w:val="100"/>
                <w:szCs w:val="21"/>
                <w:u w:val="none"/>
              </w:rPr>
              <w:t xml:space="preserve">Have you made adjustment to the yield on assets to recognize the possibility of default as required by the IRDAI ALSM Regulations?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3.8: </w:t>
            </w:r>
            <w:r>
              <w:rPr>
                <w:rFonts w:ascii="Arial" w:eastAsia="Arial" w:hAnsi="Arial" w:cs="Arial"/>
                <w:b w:val="0"/>
                <w:i w:val="0"/>
                <w:iCs w:val="0"/>
                <w:caps w:val="0"/>
                <w:strike w:val="0"/>
                <w:dstrike w:val="0"/>
                <w:sz w:val="21"/>
                <w:w w:val="100"/>
                <w:szCs w:val="21"/>
                <w:u w:val="none"/>
              </w:rPr>
              <w:t xml:space="preserve">In respect of non-</w:t>
            </w:r>
            <w:r>
              <w:rPr>
                <w:rFonts w:ascii="Arial" w:eastAsia="Arial" w:hAnsi="Arial" w:cs="Arial"/>
                <w:b w:val="0"/>
                <w:i w:val="0"/>
                <w:iCs w:val="0"/>
                <w:caps w:val="0"/>
                <w:strike w:val="0"/>
                <w:dstrike w:val="0"/>
                <w:sz w:val="21"/>
                <w:w w:val="100"/>
                <w:szCs w:val="21"/>
                <w:u w:val="none"/>
              </w:rPr>
              <w:t xml:space="preserve">participating business, have you recognized the risk of a decline in the interest rate and made suitable adjustments as required by the IRDA ALSM Regulations?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so </w:t>
            </w:r>
          </w:p>
          <w:p>
            <w:pPr>
              <w:pBdr>
                <w:top w:val="none" w:sz="0" w:space="0"/>
                <w:left w:val="none" w:sz="0" w:space="0"/>
                <w:bottom w:val="none" w:sz="0" w:space="0"/>
                <w:right w:val="none" w:sz="0" w:space="0"/>
              </w:pBdr>
              <w:pStyle w:val="Default"/>
              <w:numPr>
                <w:ilvl w:val="0"/>
                <w:numId w:val="1"/>
              </w:numPr>
              <w:keepNext w:val="0"/>
              <w:keepLines w:val="0"/>
              <w:outlineLvl w:val="9"/>
              <w:spacing w:before="0" w:beforeAutospacing="false" w:after="0" w:afterAutospacing="false" w:line="240" w:lineRule="auto"/>
              <w:contextualSpacing w:val="0"/>
              <w:widowControl w:val="0"/>
              <w:ind w:left="720" w:right="0" w:hanging="360"/>
              <w:jc w:val="both"/>
              <w:rPr>
                <w:rFonts w:ascii="Arial" w:eastAsia="Arial" w:hAnsi="Arial" w:cs="Arial"/>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To what extent and </w:t>
            </w:r>
          </w:p>
          <w:p>
            <w:pPr>
              <w:pBdr>
                <w:top w:val="none" w:sz="0" w:space="0"/>
                <w:left w:val="none" w:sz="0" w:space="0"/>
                <w:bottom w:val="none" w:sz="0" w:space="0"/>
                <w:right w:val="none" w:sz="0" w:space="0"/>
              </w:pBdr>
              <w:pStyle w:val="Default"/>
              <w:numPr>
                <w:ilvl w:val="0"/>
                <w:numId w:val="1"/>
              </w:numPr>
              <w:keepNext w:val="0"/>
              <w:keepLines w:val="0"/>
              <w:outlineLvl w:val="9"/>
              <w:spacing w:before="0" w:beforeAutospacing="false" w:after="0" w:afterAutospacing="false" w:line="240" w:lineRule="auto"/>
              <w:contextualSpacing w:val="0"/>
              <w:widowControl w:val="0"/>
              <w:ind w:left="720" w:right="0" w:hanging="36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How?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720" w:right="0" w:firstLine="0"/>
              <w:jc w:val="both"/>
              <w:rPr>
                <w:rFonts w:ascii="Arial" w:eastAsia="Arial" w:hAnsi="Arial" w:cs="Arial"/>
                <w:b w:val="0"/>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Have you also considered all future interest rate scenarios that can reasonably be foreseen?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Have you performed any stochastic modelling to value the cost of guarantee, if not, how the cost of guarantee is determined?</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3.9: </w:t>
            </w:r>
            <w:r>
              <w:rPr>
                <w:rFonts w:ascii="Arial" w:eastAsia="Arial" w:hAnsi="Arial" w:cs="Arial"/>
                <w:b w:val="0"/>
                <w:i w:val="0"/>
                <w:iCs w:val="0"/>
                <w:caps w:val="0"/>
                <w:strike w:val="0"/>
                <w:dstrike w:val="0"/>
                <w:sz w:val="21"/>
                <w:w w:val="100"/>
                <w:szCs w:val="21"/>
                <w:u w:val="none"/>
              </w:rPr>
              <w:t xml:space="preserve">Have you taken into account the effect of changes in risk free interest rates in respect of single premium business as required by the IRDAI ALSM Regulations? </w:t>
            </w:r>
          </w:p>
        </w:tc>
        <w:tc>
          <w:tcPr>
            <w:tcW w:w="189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Normal"/>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4"/>
                <w:w w:val="100"/>
                <w:szCs w:val="24"/>
                <w:u w:val="none"/>
              </w:rPr>
            </w:pPr>
          </w:p>
        </w:tc>
      </w:tr>
    </w:tbl>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4"/>
          <w:w w:val="100"/>
          <w:szCs w:val="24"/>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4"/>
          <w:spacing w:val="0"/>
          <w:w w:val="100"/>
          <w:szCs w:val="24"/>
          <w:u w:val="none"/>
          <w:vertAlign w:val="baseline"/>
        </w:rPr>
      </w:pPr>
    </w:p>
    <w:tbl>
      <w:tblPr>
        <w:tblW w:w="9288" w:type="dxa"/>
        <w:jc w:val="left"/>
        <w:tblInd w:w="0" w:type="dxa"/>
        <w:tblCellMar>
          <w:top w:w="0" w:type="dxa"/>
          <w:left w:w="108" w:type="dxa"/>
          <w:bottom w:w="0" w:type="dxa"/>
          <w:right w:w="108" w:type="dxa"/>
        </w:tblCellMar>
        <w:tblBorders/>
        <w:shd w:fill="auto" w:color="auto"/>
        <w:tblLayout w:type="fixed"/>
      </w:tblPr>
      <w:tblGrid>
        <w:gridCol w:w="1410"/>
        <w:gridCol w:w="5988"/>
        <w:gridCol w:w="1890"/>
      </w:tblGrid>
      <w:tr>
        <w:tblPrEx>
          <w:tblBorders>
            <w:top w:val="none" w:sz="0" w:space="0"/>
            <w:left w:val="none" w:sz="0" w:space="0"/>
            <w:bottom w:val="none" w:sz="0" w:space="0"/>
            <w:right w:val="none" w:sz="0" w:space="0"/>
            <w:insideH w:val="none" w:sz="0" w:space="0"/>
            <w:insideV w:val="single" w:color="000000" w:sz="4" w:space="0"/>
          </w:tblBorders>
          <w:tblCellMar>
            <w:top w:w="0" w:type="dxa"/>
            <w:left w:w="108" w:type="dxa"/>
            <w:bottom w:w="0" w:type="dxa"/>
            <w:right w:w="108" w:type="dxa"/>
          </w:tblCellMar>
        </w:tblPrEx>
        <w:trPr>
          <w:trHeight w:hRule="atLeast" w:val="2716"/>
        </w:trPr>
        <w:tc>
          <w:tcPr>
            <w:tcW w:w="141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sz w:val="23"/>
                <w:w w:val="100"/>
                <w:szCs w:val="23"/>
                <w:u w:val="none"/>
              </w:rPr>
              <w:t xml:space="preserve">4 </w:t>
            </w:r>
          </w:p>
        </w:tc>
        <w:tc>
          <w:tcPr>
            <w:tcW w:w="598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 Additional Requirement for Linked Business: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4.1: </w:t>
            </w:r>
            <w:r>
              <w:rPr>
                <w:rFonts w:ascii="Arial" w:eastAsia="Arial" w:hAnsi="Arial" w:cs="Arial"/>
                <w:b w:val="0"/>
                <w:i w:val="0"/>
                <w:iCs w:val="0"/>
                <w:caps w:val="0"/>
                <w:strike w:val="0"/>
                <w:dstrike w:val="0"/>
                <w:sz w:val="21"/>
                <w:w w:val="100"/>
                <w:szCs w:val="21"/>
                <w:u w:val="none"/>
              </w:rPr>
              <w:t xml:space="preserve">Have you ensured that the value placed on the unit reserve is based on the current mid-</w:t>
            </w:r>
            <w:r>
              <w:rPr>
                <w:rFonts w:ascii="Arial" w:eastAsia="Arial" w:hAnsi="Arial" w:cs="Arial"/>
                <w:b w:val="0"/>
                <w:i w:val="0"/>
                <w:iCs w:val="0"/>
                <w:caps w:val="0"/>
                <w:strike w:val="0"/>
                <w:dstrike w:val="0"/>
                <w:sz w:val="21"/>
                <w:w w:val="100"/>
                <w:szCs w:val="21"/>
                <w:u w:val="none"/>
              </w:rPr>
              <w:t xml:space="preserve">market value of the assets underlying the unit fund?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4.2: </w:t>
            </w:r>
            <w:r>
              <w:rPr>
                <w:rFonts w:ascii="Arial" w:eastAsia="Arial" w:hAnsi="Arial" w:cs="Arial"/>
                <w:b w:val="0"/>
                <w:i w:val="0"/>
                <w:iCs w:val="0"/>
                <w:caps w:val="0"/>
                <w:strike w:val="0"/>
                <w:dstrike w:val="0"/>
                <w:sz w:val="21"/>
                <w:w w:val="100"/>
                <w:szCs w:val="21"/>
                <w:u w:val="none"/>
              </w:rPr>
              <w:t xml:space="preserve">Have you ensured that if the unit liabilities are not matched, a mismatch reserve has been created?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4.3: </w:t>
            </w:r>
            <w:r>
              <w:rPr>
                <w:rFonts w:ascii="Arial" w:eastAsia="Arial" w:hAnsi="Arial" w:cs="Arial"/>
                <w:b w:val="0"/>
                <w:i w:val="0"/>
                <w:iCs w:val="0"/>
                <w:caps w:val="0"/>
                <w:strike w:val="0"/>
                <w:dstrike w:val="0"/>
                <w:sz w:val="21"/>
                <w:w w:val="100"/>
                <w:szCs w:val="21"/>
                <w:u w:val="none"/>
              </w:rPr>
              <w:t xml:space="preserve">Have separate unit and non-</w:t>
            </w:r>
            <w:r>
              <w:rPr>
                <w:rFonts w:ascii="Arial" w:eastAsia="Arial" w:hAnsi="Arial" w:cs="Arial"/>
                <w:b w:val="0"/>
                <w:i w:val="0"/>
                <w:iCs w:val="0"/>
                <w:caps w:val="0"/>
                <w:strike w:val="0"/>
                <w:dstrike w:val="0"/>
                <w:sz w:val="21"/>
                <w:w w:val="100"/>
                <w:szCs w:val="21"/>
                <w:u w:val="none"/>
              </w:rPr>
              <w:t xml:space="preserve">unit reserves been held?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4.4: </w:t>
            </w:r>
            <w:r>
              <w:rPr>
                <w:rFonts w:ascii="Arial" w:eastAsia="Arial" w:hAnsi="Arial" w:cs="Arial"/>
                <w:b w:val="0"/>
                <w:i w:val="0"/>
                <w:iCs w:val="0"/>
                <w:caps w:val="0"/>
                <w:strike w:val="0"/>
                <w:dstrike w:val="0"/>
                <w:sz w:val="21"/>
                <w:w w:val="100"/>
                <w:szCs w:val="21"/>
                <w:u w:val="none"/>
              </w:rPr>
              <w:t xml:space="preserve">Have you ensured that the non-</w:t>
            </w:r>
            <w:r>
              <w:rPr>
                <w:rFonts w:ascii="Arial" w:eastAsia="Arial" w:hAnsi="Arial" w:cs="Arial"/>
                <w:b w:val="0"/>
                <w:i w:val="0"/>
                <w:iCs w:val="0"/>
                <w:caps w:val="0"/>
                <w:strike w:val="0"/>
                <w:dstrike w:val="0"/>
                <w:sz w:val="21"/>
                <w:w w:val="100"/>
                <w:szCs w:val="21"/>
                <w:u w:val="none"/>
              </w:rPr>
              <w:t xml:space="preserve">unit reserve take into account </w:t>
            </w:r>
          </w:p>
          <w:p>
            <w:pPr>
              <w:pBdr>
                <w:top w:val="none" w:sz="0" w:space="0"/>
                <w:left w:val="none" w:sz="0" w:space="0"/>
                <w:bottom w:val="none" w:sz="0" w:space="0"/>
                <w:right w:val="none" w:sz="0" w:space="0"/>
              </w:pBdr>
              <w:pStyle w:val="Default"/>
              <w:numPr>
                <w:ilvl w:val="0"/>
                <w:numId w:val="8"/>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Morbidity benefits to the extent   provided by the non-</w:t>
            </w:r>
            <w:r>
              <w:rPr>
                <w:rFonts w:ascii="Arial" w:eastAsia="Arial" w:hAnsi="Arial" w:cs="Arial"/>
                <w:b w:val="0"/>
                <w:i w:val="0"/>
                <w:iCs w:val="0"/>
                <w:caps w:val="0"/>
                <w:strike w:val="0"/>
                <w:dstrike w:val="0"/>
                <w:sz w:val="21"/>
                <w:w w:val="100"/>
                <w:szCs w:val="21"/>
                <w:u w:val="none"/>
              </w:rPr>
              <w:t xml:space="preserve">unit reserves, as well as Death benefit?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4.5: </w:t>
            </w:r>
            <w:r>
              <w:rPr>
                <w:rFonts w:ascii="Arial" w:eastAsia="Arial" w:hAnsi="Arial" w:cs="Arial"/>
                <w:b w:val="0"/>
                <w:i w:val="0"/>
                <w:iCs w:val="0"/>
                <w:caps w:val="0"/>
                <w:strike w:val="0"/>
                <w:dstrike w:val="0"/>
                <w:sz w:val="21"/>
                <w:w w:val="100"/>
                <w:szCs w:val="21"/>
                <w:u w:val="none"/>
              </w:rPr>
              <w:t xml:space="preserve">Have you ensured that the total reserve in respect of a policy is not less than the guaranteed value on the valuation date?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and that neither </w:t>
            </w:r>
          </w:p>
          <w:p>
            <w:pPr>
              <w:pBdr>
                <w:top w:val="none" w:sz="0" w:space="0"/>
                <w:left w:val="none" w:sz="0" w:space="0"/>
                <w:bottom w:val="none" w:sz="0" w:space="0"/>
                <w:right w:val="none" w:sz="0" w:space="0"/>
              </w:pBdr>
              <w:pStyle w:val="Default"/>
              <w:numPr>
                <w:ilvl w:val="0"/>
                <w:numId w:val="3"/>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The unit reserve nor </w:t>
            </w:r>
          </w:p>
          <w:p>
            <w:pPr>
              <w:pBdr>
                <w:top w:val="none" w:sz="0" w:space="0"/>
                <w:left w:val="none" w:sz="0" w:space="0"/>
                <w:bottom w:val="none" w:sz="0" w:space="0"/>
                <w:right w:val="none" w:sz="0" w:space="0"/>
              </w:pBdr>
              <w:pStyle w:val="Default"/>
              <w:numPr>
                <w:ilvl w:val="0"/>
                <w:numId w:val="3"/>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The non-</w:t>
            </w:r>
            <w:r>
              <w:rPr>
                <w:rFonts w:ascii="Arial" w:eastAsia="Arial" w:hAnsi="Arial" w:cs="Arial"/>
                <w:b w:val="0"/>
                <w:i w:val="0"/>
                <w:iCs w:val="0"/>
                <w:caps w:val="0"/>
                <w:strike w:val="0"/>
                <w:dstrike w:val="0"/>
                <w:sz w:val="21"/>
                <w:w w:val="100"/>
                <w:szCs w:val="21"/>
                <w:u w:val="none"/>
              </w:rPr>
              <w:t xml:space="preserve">unit reserve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in respect of a policy is negative?  </w:t>
            </w:r>
          </w:p>
        </w:tc>
        <w:tc>
          <w:tcPr>
            <w:tcW w:w="189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4"/>
                <w:w w:val="100"/>
                <w:szCs w:val="24"/>
                <w:u w:val="none"/>
              </w:rPr>
            </w:pPr>
          </w:p>
        </w:tc>
      </w:tr>
      <w:tr>
        <w:tblPrEx>
          <w:tblBorders>
            <w:top w:val="none" w:sz="0" w:space="0"/>
            <w:left w:val="none" w:sz="0" w:space="0"/>
            <w:bottom w:val="none" w:sz="0" w:space="0"/>
            <w:right w:val="none" w:sz="0" w:space="0"/>
            <w:insideH w:val="none" w:sz="0" w:space="0"/>
            <w:insideV w:val="single" w:color="000000" w:sz="4" w:space="0"/>
          </w:tblBorders>
          <w:tblCellMar>
            <w:top w:w="0" w:type="dxa"/>
            <w:left w:w="108" w:type="dxa"/>
            <w:bottom w:w="0" w:type="dxa"/>
            <w:right w:w="108" w:type="dxa"/>
          </w:tblCellMar>
        </w:tblPrEx>
        <w:trPr>
          <w:trHeight w:hRule="atLeast" w:val="2741"/>
        </w:trPr>
        <w:tc>
          <w:tcPr>
            <w:tcW w:w="141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sz w:val="23"/>
                <w:w w:val="100"/>
                <w:szCs w:val="23"/>
                <w:u w:val="none"/>
              </w:rPr>
              <w:t xml:space="preserve">5 </w:t>
            </w:r>
          </w:p>
        </w:tc>
        <w:tc>
          <w:tcPr>
            <w:tcW w:w="598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5. Additional Requirement for Provisions: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5.1: </w:t>
            </w:r>
            <w:r>
              <w:rPr>
                <w:rFonts w:ascii="Arial" w:eastAsia="Arial" w:hAnsi="Arial" w:cs="Arial"/>
                <w:b w:val="0"/>
                <w:i w:val="0"/>
                <w:iCs w:val="0"/>
                <w:caps w:val="0"/>
                <w:strike w:val="0"/>
                <w:dstrike w:val="0"/>
                <w:sz w:val="21"/>
                <w:w w:val="100"/>
                <w:szCs w:val="21"/>
                <w:u w:val="none"/>
              </w:rPr>
              <w:t xml:space="preserve">Have you made provision for options contained in the policy contract on prudent basis taking into account factors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numPr>
                <w:ilvl w:val="0"/>
                <w:numId w:val="6"/>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External or </w:t>
            </w:r>
          </w:p>
          <w:p>
            <w:pPr>
              <w:pBdr>
                <w:top w:val="none" w:sz="0" w:space="0"/>
                <w:left w:val="none" w:sz="0" w:space="0"/>
                <w:bottom w:val="none" w:sz="0" w:space="0"/>
                <w:right w:val="none" w:sz="0" w:space="0"/>
              </w:pBdr>
              <w:pStyle w:val="Default"/>
              <w:numPr>
                <w:ilvl w:val="0"/>
                <w:numId w:val="6"/>
              </w:numPr>
              <w:keepNext w:val="0"/>
              <w:keepLines w:val="0"/>
              <w:outlineLvl w:val="9"/>
              <w:spacing w:before="0" w:beforeAutospacing="false" w:after="0" w:afterAutospacing="false" w:line="240" w:lineRule="auto"/>
              <w:contextualSpacing w:val="0"/>
              <w:widowControl w:val="0"/>
              <w:ind w:left="720" w:right="0" w:hanging="36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Internal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w w:val="100"/>
                <w:szCs w:val="21"/>
                <w:u w:val="none"/>
              </w:rPr>
            </w:pPr>
            <w:r>
              <w:rPr>
                <w:rFonts w:ascii="Arial" w:eastAsia="Arial" w:hAnsi="Arial" w:cs="Arial"/>
                <w:b w:val="0"/>
                <w:i w:val="0"/>
                <w:iCs w:val="0"/>
                <w:caps w:val="0"/>
                <w:strike w:val="0"/>
                <w:dstrike w:val="0"/>
                <w:sz w:val="21"/>
                <w:w w:val="100"/>
                <w:szCs w:val="21"/>
                <w:u w:val="none"/>
              </w:rPr>
              <w:t xml:space="preserve">to the insurer that might accompany the exercising of the option?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so, please explain in brief how?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not, please explain why not?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5.2: </w:t>
            </w:r>
            <w:r>
              <w:rPr>
                <w:rFonts w:ascii="Arial" w:eastAsia="Arial" w:hAnsi="Arial" w:cs="Arial"/>
                <w:b w:val="0"/>
                <w:i w:val="0"/>
                <w:iCs w:val="0"/>
                <w:caps w:val="0"/>
                <w:strike w:val="0"/>
                <w:dstrike w:val="0"/>
                <w:sz w:val="21"/>
                <w:w w:val="100"/>
                <w:szCs w:val="21"/>
                <w:u w:val="none"/>
              </w:rPr>
              <w:t xml:space="preserve">Have you made provision for investment guarantees on prudent basis taking into account the changes in circumstances envisaged in section 2.4 of APS 2? </w:t>
            </w:r>
          </w:p>
        </w:tc>
        <w:tc>
          <w:tcPr>
            <w:tcW w:w="189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4"/>
                <w:w w:val="100"/>
                <w:szCs w:val="24"/>
                <w:u w:val="none"/>
              </w:rPr>
            </w:pPr>
          </w:p>
        </w:tc>
      </w:tr>
      <w:tr>
        <w:tblPrEx>
          <w:tblBorders>
            <w:top w:val="none" w:sz="0" w:space="0"/>
            <w:left w:val="none" w:sz="0" w:space="0"/>
            <w:bottom w:val="none" w:sz="0" w:space="0"/>
            <w:right w:val="none" w:sz="0" w:space="0"/>
            <w:insideH w:val="none" w:sz="0" w:space="0"/>
            <w:insideV w:val="single" w:color="000000" w:sz="4" w:space="0"/>
          </w:tblBorders>
          <w:tblCellMar>
            <w:top w:w="0" w:type="dxa"/>
            <w:left w:w="108" w:type="dxa"/>
            <w:bottom w:w="0" w:type="dxa"/>
            <w:right w:w="108" w:type="dxa"/>
          </w:tblCellMar>
        </w:tblPrEx>
        <w:trPr>
          <w:trHeight w:hRule="atLeast" w:val="2804"/>
        </w:trPr>
        <w:tc>
          <w:tcPr>
            <w:tcW w:w="141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sz w:val="23"/>
                <w:w w:val="100"/>
                <w:szCs w:val="23"/>
                <w:u w:val="none"/>
              </w:rPr>
              <w:t xml:space="preserve">6 </w:t>
            </w:r>
          </w:p>
        </w:tc>
        <w:tc>
          <w:tcPr>
            <w:tcW w:w="5988"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bCs/>
                <w:i w:val="0"/>
                <w:iCs w:val="0"/>
                <w:caps w:val="0"/>
                <w:strike w:val="0"/>
                <w:dstrike w:val="0"/>
                <w:color w:val="000000"/>
                <w:sz w:val="21"/>
                <w:w w:val="100"/>
                <w:szCs w:val="21"/>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bCs/>
                <w:i w:val="0"/>
                <w:iCs w:val="0"/>
                <w:caps w:val="0"/>
                <w:strike w:val="0"/>
                <w:dstrike w:val="0"/>
                <w:sz w:val="21"/>
                <w:w w:val="100"/>
                <w:szCs w:val="21"/>
                <w:u w:val="none"/>
              </w:rPr>
              <w:t xml:space="preserve">6. Solvency Margin </w:t>
            </w:r>
            <w:r>
              <w:rPr>
                <w:rFonts w:ascii="Arial" w:eastAsia="Arial" w:hAnsi="Arial" w:cs="Arial"/>
                <w:b w:val="0"/>
                <w:i w:val="0"/>
                <w:iCs w:val="0"/>
                <w:caps w:val="0"/>
                <w:strike w:val="0"/>
                <w:dstrike w:val="0"/>
                <w:sz w:val="21"/>
                <w:w w:val="100"/>
                <w:szCs w:val="21"/>
                <w:u w:val="none"/>
              </w:rPr>
              <w:t xml:space="preserve">Have you ensured that the insurer’s available assets can provide explicit cover for the amount of required solvency margin?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Have you ensured that the inadmissible assets for the purpose of calculating Available assets is in line with the IRDAI Regulations.</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Further, have you in terms of IRDA Appointed Actuary Regulations  suitably advised  the Directors of the  insurer to ensure that the insurer  is at all times able to meet the solvency requirements as prescribed in section 64VA of the Insurance Act ?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so, explain how?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1"/>
                <w:spacing w:val="0"/>
                <w:w w:val="100"/>
                <w:szCs w:val="21"/>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1"/>
                <w:spacing w:val="0"/>
                <w:w w:val="100"/>
                <w:szCs w:val="21"/>
                <w:u w:val="none"/>
                <w:vertAlign w:val="baseline"/>
              </w:rPr>
            </w:pPr>
            <w:r>
              <w:rPr>
                <w:rFonts w:ascii="Arial" w:eastAsia="Arial" w:hAnsi="Arial" w:cs="Arial"/>
                <w:b w:val="0"/>
                <w:i w:val="0"/>
                <w:iCs w:val="0"/>
                <w:caps w:val="0"/>
                <w:strike w:val="0"/>
                <w:dstrike w:val="0"/>
                <w:sz w:val="21"/>
                <w:w w:val="100"/>
                <w:szCs w:val="21"/>
                <w:u w:val="none"/>
              </w:rPr>
              <w:t xml:space="preserve">If not, please explain why not? </w:t>
            </w:r>
          </w:p>
        </w:tc>
        <w:tc>
          <w:tcPr>
            <w:tcW w:w="1890" w:type="dxa"/>
            <w:tcBorders>
              <w:top w:val="single" w:color="000000" w:sz="4" w:space="0"/>
              <w:left w:val="single" w:color="000000" w:sz="4" w:space="0"/>
              <w:bottom w:val="single" w:color="000000" w:sz="4" w:space="0"/>
              <w:right w:val="single" w:color="000000" w:sz="4" w:space="0"/>
              <w:tl2br w:val="none" w:sz="0" w:space="0"/>
              <w:tr2bl w:val="none" w:sz="0" w:space="0"/>
            </w:tcBorders>
            <w:shd w:fill="auto" w:color="auto" w:val="clear"/>
            <w:vAlign w:val="top"/>
          </w:tcPr>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Impact" w:eastAsia="Impact" w:hAnsi="Impact" w:cs="Impact"/>
                <w:b w:val="0"/>
                <w:i w:val="0"/>
                <w:iCs w:val="0"/>
                <w:caps w:val="0"/>
                <w:strike w:val="0"/>
                <w:dstrike w:val="0"/>
                <w:color w:val="000000"/>
                <w:sz w:val="24"/>
                <w:w w:val="100"/>
                <w:szCs w:val="24"/>
                <w:u w:val="none"/>
              </w:rPr>
            </w:pPr>
          </w:p>
        </w:tc>
      </w:tr>
    </w:tbl>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4"/>
          <w:w w:val="100"/>
          <w:szCs w:val="24"/>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w w:val="100"/>
          <w:szCs w:val="23"/>
          <w:u w:val="no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color w:val="000000"/>
          <w:sz w:val="23"/>
          <w:w w:val="100"/>
          <w:szCs w:val="23"/>
          <w:u w:val="none"/>
        </w:rPr>
        <w:t xml:space="preserve">Name of the Appointed Actuary </w:t>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 xml:space="preserve">_________________________</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color w:val="000000"/>
          <w:sz w:val="23"/>
          <w:w w:val="100"/>
          <w:szCs w:val="23"/>
          <w:u w:val="none"/>
        </w:rPr>
        <w:t xml:space="preserve"> </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color w:val="000000"/>
          <w:sz w:val="23"/>
          <w:w w:val="100"/>
          <w:szCs w:val="23"/>
          <w:u w:val="none"/>
        </w:rPr>
        <w:t xml:space="preserve">Name of the Company </w:t>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 xml:space="preserve">_________________________</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color w:val="000000"/>
          <w:sz w:val="23"/>
          <w:w w:val="100"/>
          <w:szCs w:val="23"/>
          <w:u w:val="none"/>
        </w:rPr>
        <w:t xml:space="preserve">Signature </w:t>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 xml:space="preserve">_________________________</w:t>
      </w: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p>
    <w:p>
      <w:pPr>
        <w:pBdr>
          <w:top w:val="none" w:sz="0" w:space="0"/>
          <w:left w:val="none" w:sz="0" w:space="0"/>
          <w:bottom w:val="none" w:sz="0" w:space="0"/>
          <w:right w:val="none" w:sz="0" w:space="0"/>
        </w:pBdr>
        <w:pStyle w:val="Default"/>
        <w:keepNext w:val="0"/>
        <w:keepLines w:val="0"/>
        <w:outlineLvl w:val="9"/>
        <w:spacing w:before="0" w:beforeAutospacing="false" w:after="0" w:afterAutospacing="false" w:line="240" w:lineRule="auto"/>
        <w:contextualSpacing w:val="0"/>
        <w:widowControl w:val="0"/>
        <w:ind w:left="0" w:right="0" w:firstLine="0"/>
        <w:jc w:val="both"/>
        <w:rPr>
          <w:rFonts w:ascii="Arial" w:eastAsia="Arial" w:hAnsi="Arial" w:cs="Arial"/>
          <w:b w:val="0"/>
          <w:i w:val="0"/>
          <w:iCs w:val="0"/>
          <w:caps w:val="0"/>
          <w:strike w:val="0"/>
          <w:dstrike w:val="0"/>
          <w:color w:val="000000"/>
          <w:sz w:val="23"/>
          <w:spacing w:val="0"/>
          <w:w w:val="100"/>
          <w:szCs w:val="23"/>
          <w:u w:val="none"/>
          <w:vertAlign w:val="baseline"/>
        </w:rPr>
      </w:pPr>
      <w:r>
        <w:rPr>
          <w:rFonts w:ascii="Arial" w:eastAsia="Arial" w:hAnsi="Arial" w:cs="Arial"/>
          <w:b w:val="0"/>
          <w:i w:val="0"/>
          <w:iCs w:val="0"/>
          <w:caps w:val="0"/>
          <w:strike w:val="0"/>
          <w:dstrike w:val="0"/>
          <w:color w:val="000000"/>
          <w:sz w:val="23"/>
          <w:w w:val="100"/>
          <w:szCs w:val="23"/>
          <w:u w:val="none"/>
        </w:rPr>
        <w:t xml:space="preserve">Date </w:t>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ab/>
      </w:r>
      <w:r>
        <w:rPr>
          <w:rFonts w:ascii="Arial" w:eastAsia="Arial" w:hAnsi="Arial" w:cs="Arial"/>
          <w:b w:val="0"/>
          <w:i w:val="0"/>
          <w:iCs w:val="0"/>
          <w:caps w:val="0"/>
          <w:strike w:val="0"/>
          <w:dstrike w:val="0"/>
          <w:color w:val="000000"/>
          <w:sz w:val="23"/>
          <w:w w:val="100"/>
          <w:szCs w:val="23"/>
          <w:u w:val="none"/>
        </w:rPr>
        <w:t xml:space="preserve">_________________________</w:t>
      </w:r>
    </w:p>
    <w:p>
      <w:pPr>
        <w:pBdr>
          <w:top w:val="none" w:sz="0" w:space="0"/>
          <w:left w:val="none" w:sz="0" w:space="0"/>
          <w:bottom w:val="none" w:sz="0" w:space="0"/>
          <w:right w:val="none" w:sz="0" w:space="0"/>
        </w:pBdr>
        <w:pStyle w:val="Default"/>
        <w:keepNext w:val="0"/>
        <w:keepLines w:val="0"/>
        <w:outlineLvl w:val="9"/>
        <w:spacing w:before="0" w:beforeAutospacing="false" w:after="535" w:afterAutospacing="false" w:line="271" w:lineRule="atLeast"/>
        <w:contextualSpacing w:val="0"/>
        <w:widowControl w:val="0"/>
        <w:ind w:left="0" w:right="0" w:firstLine="0"/>
        <w:jc w:val="both"/>
        <w:rPr>
          <w:rFonts w:ascii="Arial" w:eastAsia="Arial" w:hAnsi="Arial" w:cs="Arial"/>
          <w:b w:val="0"/>
          <w:i w:val="0"/>
          <w:iCs w:val="0"/>
          <w:caps w:val="0"/>
          <w:strike w:val="0"/>
          <w:dstrike w:val="0"/>
          <w:color w:val="000000"/>
          <w:sz w:val="23"/>
          <w:w w:val="100"/>
          <w:szCs w:val="23"/>
          <w:u w:val="none"/>
        </w:rPr>
      </w:pPr>
    </w:p>
    <w:sectPr>
      <w:headerReference w:type="default" r:id="rId1"/>
      <w:footerReference w:type="default" r:id="rId2"/>
      <w:type w:val="continuous"/>
      <w:pgSz w:w="11905" w:h="16840"/>
      <w:pgMar w:top="1315" w:right="1285" w:bottom="1440" w:left="1440" w:header="426" w:footer="0" w:gutter="0"/>
      <w:pgNumType w:fmt="Arabic"/>
      <w:pgBorders/>
      <w:endnotePr>
        <w:pos w:val="docEnd"/>
        <w:numFmt w:val="lowerRoman"/>
        <w:numRestart w:val="continuous"/>
        <w:numStart w:val="1"/>
      </w:endnotePr>
    </w:sectPr>
  </w:body>
</w:document>
</file>

<file path=word/endnotes.xml><?xml version="1.0" encoding="utf-8"?>
<w:end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endnote w:type="separator" w:id="-1">
    <w:p>
      <w:pPr>
        <w:pBdr/>
        <w:pStyle w:val="Normal"/>
        <w:spacing/>
        <w:ind/>
        <w:rPr/>
      </w:pPr>
      <w:r>
        <w:rPr/>
        <w:separator/>
      </w:r>
    </w:p>
  </w:endnote>
  <w:endnote w:type="continuationSeparator" w:id="0">
    <w:p>
      <w:pPr>
        <w:pBdr/>
        <w:pStyle w:val="Normal"/>
        <w:spacing/>
        <w:ind/>
        <w:rPr/>
      </w:pPr>
      <w:r>
        <w:rPr/>
        <w:continuationSeparator/>
      </w:r>
    </w:p>
  </w:endnote>
  <w:endnote w:type="continuationNotice" w:id="1">
    <w:p>
      <w:pPr>
        <w:pBdr/>
        <w:pStyle w:val="Normal"/>
        <w:spacing/>
        <w:ind/>
        <w:rPr/>
      </w:pPr>
    </w:p>
  </w:endnote>
</w:endnotes>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top w:val="none" w:sz="0" w:space="0"/>
        <w:left w:val="none" w:sz="0" w:space="0"/>
        <w:bottom w:val="none" w:sz="0" w:space="0"/>
        <w:right w:val="none" w:sz="0" w:space="0"/>
      </w:pBdr>
      <w:pStyle w:val="Footer"/>
      <w:keepNext w:val="0"/>
      <w:keepLines w:val="0"/>
      <w:outlineLvl w:val="9"/>
      <w:spacing w:before="0" w:beforeAutospacing="false" w:after="200" w:afterAutospacing="false" w:line="276" w:lineRule="auto"/>
      <w:contextualSpacing w:val="0"/>
      <w:widowControl w:val="1"/>
      <w:ind w:left="0" w:right="0" w:firstLine="0"/>
      <w:jc w:val="right"/>
      <w:tabs>
        <w:tab w:val="center" w:pos="4680"/>
        <w:tab w:val="right" w:pos="9360"/>
      </w:tabs>
      <w:rPr>
        <w:rFonts w:ascii="Calibri" w:eastAsia="Calibri" w:hAnsi="Calibri" w:cs="Calibri"/>
        <w:b w:val="0"/>
        <w:i w:val="0"/>
        <w:iCs w:val="0"/>
        <w:caps w:val="0"/>
        <w:strike w:val="0"/>
        <w:dstrike w:val="0"/>
        <w:color w:val="auto"/>
        <w:sz w:val="22"/>
        <w:w w:val="100"/>
        <w:szCs w:val="22"/>
        <w:u w:val="none"/>
      </w:rPr>
    </w:pPr>
    <w:r>
      <w:rPr>
        <w:rFonts w:ascii="Calibri" w:eastAsia="Calibri" w:hAnsi="Calibri" w:cs="Calibri"/>
        <w:b w:val="0"/>
        <w:i w:val="0"/>
        <w:iCs w:val="0"/>
        <w:caps w:val="0"/>
        <w:strike w:val="0"/>
        <w:dstrike w:val="0"/>
        <w:sz w:val="22"/>
        <w:w w:val="100"/>
        <w:szCs w:val="22"/>
        <w:u w:val="none"/>
      </w:rPr>
      <w:t xml:space="preserve">Page </w:t>
    </w:r>
    <w:r>
      <w:rPr>
        <w:rFonts w:ascii="Calibri" w:eastAsia="Calibri" w:hAnsi="Calibri" w:cs="Calibri"/>
        <w:b/>
        <w:i w:val="0"/>
        <w:iCs w:val="0"/>
        <w:caps w:val="0"/>
        <w:strike w:val="0"/>
        <w:dstrike w:val="0"/>
        <w:sz w:val="22"/>
        <w:w w:val="100"/>
        <w:szCs w:val="22"/>
        <w:u w:val="none"/>
      </w:rPr>
      <w:fldChar w:fldCharType="begin"/>
    </w:r>
    <w:r>
      <w:rPr>
        <w:rFonts w:ascii="Calibri" w:eastAsia="Calibri" w:hAnsi="Calibri" w:cs="Calibri"/>
        <w:b/>
        <w:i w:val="0"/>
        <w:iCs w:val="0"/>
        <w:caps w:val="0"/>
        <w:strike w:val="0"/>
        <w:dstrike w:val="0"/>
        <w:sz w:val="22"/>
        <w:w w:val="100"/>
        <w:szCs w:val="22"/>
        <w:u w:val="none"/>
      </w:rPr>
      <w:instrText xml:space="preserve"> PAGE </w:instrText>
    </w:r>
    <w:r>
      <w:rPr/>
      <w:fldChar w:fldCharType="separate"/>
    </w:r>
    <w:r>
      <w:rPr>
        <w:rFonts w:ascii="Calibri" w:eastAsia="Calibri" w:hAnsi="Calibri" w:cs="Calibri"/>
        <w:b/>
        <w:i w:val="0"/>
        <w:iCs w:val="0"/>
        <w:caps w:val="0"/>
        <w:strike w:val="0"/>
        <w:dstrike w:val="0"/>
        <w:sz w:val="22"/>
        <w:w w:val="100"/>
        <w:szCs w:val="22"/>
        <w:u w:val="none"/>
      </w:rPr>
      <w:t xml:space="preserve">1</w:t>
    </w:r>
    <w:r>
      <w:rPr/>
      <w:fldChar w:fldCharType="end"/>
    </w:r>
    <w:r>
      <w:rPr>
        <w:rFonts w:ascii="Calibri" w:eastAsia="Calibri" w:hAnsi="Calibri" w:cs="Calibri"/>
        <w:b w:val="0"/>
        <w:i w:val="0"/>
        <w:iCs w:val="0"/>
        <w:caps w:val="0"/>
        <w:strike w:val="0"/>
        <w:dstrike w:val="0"/>
        <w:sz w:val="22"/>
        <w:w w:val="100"/>
        <w:szCs w:val="22"/>
        <w:u w:val="none"/>
      </w:rPr>
      <w:instrText xml:space="preserve"> of </w:instrText>
    </w:r>
    <w:r>
      <w:rPr>
        <w:rFonts w:ascii="Calibri" w:eastAsia="Calibri" w:hAnsi="Calibri" w:cs="Calibri"/>
        <w:b/>
        <w:i w:val="0"/>
        <w:iCs w:val="0"/>
        <w:caps w:val="0"/>
        <w:strike w:val="0"/>
        <w:dstrike w:val="0"/>
        <w:sz w:val="22"/>
        <w:w w:val="100"/>
        <w:szCs w:val="22"/>
        <w:u w:val="none"/>
      </w:rPr>
      <w:fldChar w:fldCharType="begin"/>
    </w:r>
    <w:r>
      <w:rPr>
        <w:rFonts w:ascii="Calibri" w:eastAsia="Calibri" w:hAnsi="Calibri" w:cs="Calibri"/>
        <w:b/>
        <w:i w:val="0"/>
        <w:iCs w:val="0"/>
        <w:caps w:val="0"/>
        <w:strike w:val="0"/>
        <w:dstrike w:val="0"/>
        <w:sz w:val="22"/>
        <w:w w:val="100"/>
        <w:szCs w:val="22"/>
        <w:u w:val="none"/>
      </w:rPr>
      <w:instrText xml:space="preserve"> NUMPAGES  </w:instrText>
    </w:r>
    <w:r>
      <w:rPr/>
      <w:fldChar w:fldCharType="separate"/>
    </w:r>
    <w:r>
      <w:rPr>
        <w:rFonts w:ascii="Calibri" w:eastAsia="Calibri" w:hAnsi="Calibri" w:cs="Calibri"/>
        <w:b/>
        <w:i w:val="0"/>
        <w:iCs w:val="0"/>
        <w:caps w:val="0"/>
        <w:strike w:val="0"/>
        <w:dstrike w:val="0"/>
        <w:sz w:val="22"/>
        <w:w w:val="100"/>
        <w:szCs w:val="22"/>
        <w:u w:val="none"/>
      </w:rPr>
      <w:t xml:space="preserve">5</w:t>
    </w:r>
    <w:r>
      <w:rPr/>
      <w:fldChar w:fldCharType="end"/>
    </w:r>
  </w:p>
  <w:p>
    <w:pPr>
      <w:pBdr>
        <w:top w:val="none" w:sz="0" w:space="0"/>
        <w:left w:val="none" w:sz="0" w:space="0"/>
        <w:bottom w:val="none" w:sz="0" w:space="0"/>
        <w:right w:val="none" w:sz="0" w:space="0"/>
      </w:pBdr>
      <w:pStyle w:val="Footer"/>
      <w:keepNext w:val="0"/>
      <w:keepLines w:val="0"/>
      <w:outlineLvl w:val="9"/>
      <w:spacing w:before="0" w:beforeAutospacing="false" w:after="200" w:afterAutospacing="false" w:line="276" w:lineRule="auto"/>
      <w:contextualSpacing w:val="0"/>
      <w:widowControl w:val="1"/>
      <w:ind w:left="0" w:right="0" w:firstLine="0"/>
      <w:jc w:val="left"/>
      <w:tabs>
        <w:tab w:val="center" w:pos="4680"/>
        <w:tab w:val="right" w:pos="9360"/>
      </w:tabs>
      <w:rPr>
        <w:rFonts w:ascii="Calibri" w:eastAsia="Calibri" w:hAnsi="Calibri" w:cs="Calibri"/>
        <w:b w:val="0"/>
        <w:i w:val="0"/>
        <w:iCs w:val="0"/>
        <w:caps w:val="0"/>
        <w:strike w:val="0"/>
        <w:dstrike w:val="0"/>
        <w:color w:val="auto"/>
        <w:sz w:val="22"/>
        <w:w w:val="100"/>
        <w:szCs w:val="22"/>
        <w:u w:val="none"/>
      </w:rPr>
    </w:pPr>
  </w:p>
</w:ftr>
</file>

<file path=word/footnotes.xml><?xml version="1.0" encoding="utf-8"?>
<w:footnotes xmlns:wpc="http://schemas.microsoft.com/office/word/2010/wordprocessingCanvas" xmlns:cx="http://schemas.microsoft.com/office/drawing/2014/chartex" xmlns:aink="http://schemas.microsoft.com/office/drawing/2016/ink" xmlns:am3d="http://schemas.microsoft.com/office/drawing/2017/,odel3d"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footnote w:type="separator" w:id="-1">
    <w:p>
      <w:pPr>
        <w:pBdr/>
        <w:pStyle w:val="Normal"/>
        <w:spacing/>
        <w:ind/>
        <w:rPr/>
      </w:pPr>
      <w:r>
        <w:rPr/>
        <w:separator/>
      </w:r>
    </w:p>
  </w:footnote>
  <w:footnote w:type="continuationSeparator" w:id="0">
    <w:p>
      <w:pPr>
        <w:pBdr/>
        <w:pStyle w:val="Normal"/>
        <w:spacing/>
        <w:ind/>
        <w:rPr/>
      </w:pPr>
      <w:r>
        <w:rPr/>
        <w:continuationSeparator/>
      </w:r>
    </w:p>
  </w:footnote>
  <w:footnote w:type="continuationNotice" w:id="1">
    <w:p>
      <w:pPr>
        <w:pBdr/>
        <w:pStyle w:val="Normal"/>
        <w:spacing/>
        <w:ind/>
        <w:rPr/>
      </w:pPr>
    </w:p>
  </w:footnote>
</w:footnotes>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c="http://schemas.microsoft.com/office/word/2010/wordprocessingCanvas"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w="http://schemas.openxmlformats.org/wordprocessingml/2006/main" ve:Ignorable="w14 w15 wp14">
  <w:p>
    <w:pPr>
      <w:pBdr>
        <w:top w:val="none" w:sz="0" w:space="0"/>
        <w:left w:val="none" w:sz="0" w:space="0"/>
        <w:bottom w:val="none" w:sz="0" w:space="0"/>
        <w:right w:val="none" w:sz="0" w:space="0"/>
      </w:pBdr>
      <w:pStyle w:val="Header"/>
      <w:keepNext w:val="0"/>
      <w:keepLines w:val="0"/>
      <w:outlineLvl w:val="9"/>
      <w:spacing w:before="0" w:beforeAutospacing="false" w:after="200" w:afterAutospacing="false" w:line="276" w:lineRule="auto"/>
      <w:contextualSpacing w:val="0"/>
      <w:widowControl w:val="1"/>
      <w:ind w:left="0" w:right="0" w:firstLine="0"/>
      <w:jc w:val="left"/>
      <w:tabs>
        <w:tab w:val="center" w:pos="4680"/>
        <w:tab w:val="right" w:pos="9360"/>
      </w:tabs>
      <w:rPr>
        <w:rFonts w:ascii="Calibri" w:eastAsia="Calibri" w:hAnsi="Calibri" w:cs="Calibri"/>
        <w:b w:val="0"/>
        <w:i w:val="0"/>
        <w:iCs w:val="0"/>
        <w:caps w:val="0"/>
        <w:strike w:val="0"/>
        <w:dstrike w:val="0"/>
        <w:color w:val="auto"/>
        <w:sz w:val="22"/>
        <w:w w:val="100"/>
        <w:szCs w:val="22"/>
        <w:u w:val="none"/>
      </w:rPr>
    </w:pPr>
    <w:r>
      <w:rPr>
        <w:rFonts w:ascii="Calibri" w:eastAsia="Calibri" w:hAnsi="Calibri" w:cs="Calibri"/>
        <w:b w:val="0"/>
        <w:i w:val="0"/>
        <w:iCs w:val="0"/>
        <w:caps w:val="0"/>
        <w:strike w:val="0"/>
        <w:dstrike w:val="0"/>
        <w:color w:val="auto"/>
        <w:sz w:val="22"/>
        <w:w w:val="100"/>
        <w:szCs w:val="22"/>
        <w:u w:val="none"/>
      </w:rPr>
      <w:drawing>
        <wp:inline distT="0" distB="0" distL="0" distR="0">
          <wp:extent cx="5677376" cy="928116"/>
          <wp:effectExtent xmlns:wp="http://schemas.openxmlformats.org/drawingml/2006/wordprocessingDrawing" l="0" t="0" r="0" b="0"/>
          <wp:docPr id="1" name="Picture 1"/>
          <a:graphic>
            <a:graphicData uri="http://schemas.openxmlformats.org/drawingml/2006/picture">
              <pic:pic>
                <pic:nvPicPr>
                  <pic:cNvPr id="0" name="" descr=""/>
                  <pic:cNvPicPr>
                    <a:picLocks noChangeAspect="1" noChangeArrowheads="1"/>
                  </pic:cNvPicPr>
                </pic:nvPicPr>
                <pic:blipFill>
                  <a:blip r:embed="rId3"/>
                  <a:stretch>
                    <a:fillRect/>
                  </a:stretch>
                </pic:blipFill>
                <pic:spPr bwMode="auto">
                  <a:xfrm>
                    <a:off x="0" y="0"/>
                    <a:ext cx="5677376" cy="92811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78B2"/>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abstractNum w:abstractNumId="1">
    <w:nsid w:val="6A63B6F"/>
    <w:lvl w:ilvl="0">
      <w:start w:val="1"/>
      <w:numFmt w:val="decimal"/>
      <w:suff w:val="tab"/>
      <w:lvlText w:val="%1."/>
      <w:pPr>
        <w:pBdr/>
        <w:spacing/>
        <w:ind w:left="720" w:hanging="360"/>
        <w:tabs>
          <w:tab w:val="left" w:pos="0"/>
        </w:tabs>
      </w:pPr>
      <w:rPr>
        <w:rFonts w:ascii="Arial" w:eastAsia="Arial" w:hAnsi="Arial" w:cs="Arial"/>
        <w:b/>
        <w:i w:val="0"/>
        <w:caps w:val="0"/>
        <w:strike w:val="0"/>
        <w:dstrike w:val="0"/>
        <w:color w:val="000000"/>
        <w:sz w:val="22"/>
        <w:w w:val="100"/>
      </w:rPr>
    </w:lvl>
    <w:lvl w:ilvl="1">
      <w:start w:val="1"/>
      <w:numFmt w:val="lowerLetter"/>
      <w:suff w:val="tab"/>
      <w:lvlText w:val="%2."/>
      <w:pPr>
        <w:pBdr/>
        <w:spacing/>
        <w:ind w:left="1440" w:hanging="360"/>
        <w:tabs>
          <w:tab w:val="left" w:pos="0"/>
        </w:tabs>
      </w:pPr>
      <w:rPr>
        <w:rFonts w:ascii="Times New Roman" w:eastAsia="Times New Roman" w:hAnsi="Times New Roman" w:cs="Times New Roman"/>
        <w:b w:val="0"/>
      </w:rPr>
    </w:lvl>
    <w:lvl w:ilvl="2">
      <w:start w:val="1"/>
      <w:numFmt w:val="lowerRoman"/>
      <w:suff w:val="tab"/>
      <w:lvlText w:val="%3."/>
      <w:pPr>
        <w:pBdr/>
        <w:spacing/>
        <w:ind w:left="2160" w:hanging="180"/>
        <w:tabs>
          <w:tab w:val="left" w:pos="0"/>
        </w:tabs>
      </w:pPr>
      <w:rPr>
        <w:rFonts w:ascii="Times New Roman" w:eastAsia="Times New Roman" w:hAnsi="Times New Roman" w:cs="Times New Roman"/>
        <w:b w:val="0"/>
      </w:rPr>
    </w:lvl>
    <w:lvl w:ilvl="3">
      <w:start w:val="1"/>
      <w:numFmt w:val="decimal"/>
      <w:suff w:val="tab"/>
      <w:lvlText w:val="%4."/>
      <w:pPr>
        <w:pBdr/>
        <w:spacing/>
        <w:ind w:left="2880" w:hanging="360"/>
        <w:tabs>
          <w:tab w:val="left" w:pos="0"/>
        </w:tabs>
      </w:pPr>
      <w:rPr>
        <w:rFonts w:ascii="Times New Roman" w:eastAsia="Times New Roman" w:hAnsi="Times New Roman" w:cs="Times New Roman"/>
        <w:b w:val="0"/>
      </w:rPr>
    </w:lvl>
    <w:lvl w:ilvl="4">
      <w:start w:val="1"/>
      <w:numFmt w:val="lowerLetter"/>
      <w:suff w:val="tab"/>
      <w:lvlText w:val="%5."/>
      <w:pPr>
        <w:pBdr/>
        <w:spacing/>
        <w:ind w:left="3600" w:hanging="360"/>
        <w:tabs>
          <w:tab w:val="left" w:pos="0"/>
        </w:tabs>
      </w:pPr>
      <w:rPr>
        <w:rFonts w:ascii="Times New Roman" w:eastAsia="Times New Roman" w:hAnsi="Times New Roman" w:cs="Times New Roman"/>
        <w:b w:val="0"/>
      </w:rPr>
    </w:lvl>
    <w:lvl w:ilvl="5">
      <w:start w:val="1"/>
      <w:numFmt w:val="lowerRoman"/>
      <w:suff w:val="tab"/>
      <w:lvlText w:val="%6."/>
      <w:pPr>
        <w:pBdr/>
        <w:spacing/>
        <w:ind w:left="4320" w:hanging="180"/>
        <w:tabs>
          <w:tab w:val="left" w:pos="0"/>
        </w:tabs>
      </w:pPr>
      <w:rPr>
        <w:rFonts w:ascii="Times New Roman" w:eastAsia="Times New Roman" w:hAnsi="Times New Roman" w:cs="Times New Roman"/>
        <w:b w:val="0"/>
      </w:rPr>
    </w:lvl>
    <w:lvl w:ilvl="6">
      <w:start w:val="1"/>
      <w:numFmt w:val="decimal"/>
      <w:suff w:val="tab"/>
      <w:lvlText w:val="%7."/>
      <w:pPr>
        <w:pBdr/>
        <w:spacing/>
        <w:ind w:left="5040" w:hanging="360"/>
        <w:tabs>
          <w:tab w:val="left" w:pos="0"/>
        </w:tabs>
      </w:pPr>
      <w:rPr>
        <w:rFonts w:ascii="Times New Roman" w:eastAsia="Times New Roman" w:hAnsi="Times New Roman" w:cs="Times New Roman"/>
        <w:b w:val="0"/>
      </w:rPr>
    </w:lvl>
    <w:lvl w:ilvl="7">
      <w:start w:val="1"/>
      <w:numFmt w:val="lowerLetter"/>
      <w:suff w:val="tab"/>
      <w:lvlText w:val="%8."/>
      <w:pPr>
        <w:pBdr/>
        <w:spacing/>
        <w:ind w:left="5760" w:hanging="360"/>
        <w:tabs>
          <w:tab w:val="left" w:pos="0"/>
        </w:tabs>
      </w:pPr>
      <w:rPr>
        <w:rFonts w:ascii="Times New Roman" w:eastAsia="Times New Roman" w:hAnsi="Times New Roman" w:cs="Times New Roman"/>
        <w:b w:val="0"/>
      </w:rPr>
    </w:lvl>
    <w:lvl w:ilvl="8">
      <w:start w:val="1"/>
      <w:numFmt w:val="lowerRoman"/>
      <w:suff w:val="tab"/>
      <w:lvlText w:val="%9."/>
      <w:pPr>
        <w:pBdr/>
        <w:spacing/>
        <w:ind w:left="6480" w:hanging="180"/>
        <w:tabs>
          <w:tab w:val="left" w:pos="0"/>
        </w:tabs>
      </w:pPr>
      <w:rPr>
        <w:rFonts w:ascii="Times New Roman" w:eastAsia="Times New Roman" w:hAnsi="Times New Roman" w:cs="Times New Roman"/>
        <w:b w:val="0"/>
      </w:rPr>
    </w:lvl>
  </w:abstractNum>
  <w:abstractNum w:abstractNumId="2">
    <w:nsid w:val="1321109B"/>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abstractNum w:abstractNumId="4">
    <w:nsid w:val="41633135"/>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abstractNum w:abstractNumId="5">
    <w:nsid w:val="44867C21"/>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abstractNum w:abstractNumId="6">
    <w:nsid w:val="54726907"/>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abstractNum w:abstractNumId="7">
    <w:nsid w:val="5B4E03B6"/>
    <w:lvl w:ilvl="0">
      <w:start w:val="0"/>
      <w:numFmt w:val="bullet"/>
      <w:suff w:val="tab"/>
      <w:lvlText w:val=""/>
      <w:pPr>
        <w:pBdr/>
        <w:spacing/>
        <w:ind w:left="720" w:hanging="360"/>
        <w:tabs>
          <w:tab w:val="left" w:pos="0"/>
        </w:tabs>
      </w:pPr>
      <w:rPr>
        <w:rFonts w:ascii="Symbol" w:eastAsia="Symbol" w:hAnsi="Symbol" w:cs="Symbol"/>
        <w:b w:val="0"/>
        <w:i w:val="0"/>
        <w:caps w:val="0"/>
        <w:strike w:val="0"/>
        <w:dstrike w:val="0"/>
        <w:color w:val="000000"/>
        <w:sz w:val="21"/>
        <w:w w:val="100"/>
      </w:rPr>
    </w:lvl>
    <w:lvl w:ilvl="1">
      <w:start w:val="0"/>
      <w:numFmt w:val="bullet"/>
      <w:suff w:val="tab"/>
      <w:lvlText w:val="o"/>
      <w:pPr>
        <w:pBdr/>
        <w:spacing/>
        <w:ind w:left="1440" w:hanging="360"/>
        <w:tabs>
          <w:tab w:val="left" w:pos="0"/>
        </w:tabs>
      </w:pPr>
      <w:rPr>
        <w:rFonts w:ascii="Courier New" w:hAnsi="Courier New"/>
        <w:b w:val="0"/>
      </w:rPr>
    </w:lvl>
    <w:lvl w:ilvl="2">
      <w:start w:val="0"/>
      <w:numFmt w:val="bullet"/>
      <w:suff w:val="tab"/>
      <w:lvlText w:val=""/>
      <w:pPr>
        <w:pBdr/>
        <w:spacing/>
        <w:ind w:left="2160" w:hanging="360"/>
        <w:tabs>
          <w:tab w:val="left" w:pos="0"/>
        </w:tabs>
      </w:pPr>
      <w:rPr>
        <w:rFonts w:ascii="Wingdings" w:hAnsi="Wingdings"/>
        <w:b w:val="0"/>
      </w:rPr>
    </w:lvl>
    <w:lvl w:ilvl="3">
      <w:start w:val="0"/>
      <w:numFmt w:val="bullet"/>
      <w:suff w:val="tab"/>
      <w:lvlText w:val=""/>
      <w:pPr>
        <w:pBdr/>
        <w:spacing/>
        <w:ind w:left="2880" w:hanging="360"/>
        <w:tabs>
          <w:tab w:val="left" w:pos="0"/>
        </w:tabs>
      </w:pPr>
      <w:rPr>
        <w:rFonts w:ascii="Symbol" w:hAnsi="Symbol"/>
        <w:b w:val="0"/>
      </w:rPr>
    </w:lvl>
    <w:lvl w:ilvl="4">
      <w:start w:val="0"/>
      <w:numFmt w:val="bullet"/>
      <w:suff w:val="tab"/>
      <w:lvlText w:val="o"/>
      <w:pPr>
        <w:pBdr/>
        <w:spacing/>
        <w:ind w:left="3600" w:hanging="360"/>
        <w:tabs>
          <w:tab w:val="left" w:pos="0"/>
        </w:tabs>
      </w:pPr>
      <w:rPr>
        <w:rFonts w:ascii="Courier New" w:hAnsi="Courier New"/>
        <w:b w:val="0"/>
      </w:rPr>
    </w:lvl>
    <w:lvl w:ilvl="5">
      <w:start w:val="0"/>
      <w:numFmt w:val="bullet"/>
      <w:suff w:val="tab"/>
      <w:lvlText w:val=""/>
      <w:pPr>
        <w:pBdr/>
        <w:spacing/>
        <w:ind w:left="4320" w:hanging="360"/>
        <w:tabs>
          <w:tab w:val="left" w:pos="0"/>
        </w:tabs>
      </w:pPr>
      <w:rPr>
        <w:rFonts w:ascii="Wingdings" w:hAnsi="Wingdings"/>
        <w:b w:val="0"/>
      </w:rPr>
    </w:lvl>
    <w:lvl w:ilvl="6">
      <w:start w:val="0"/>
      <w:numFmt w:val="bullet"/>
      <w:suff w:val="tab"/>
      <w:lvlText w:val=""/>
      <w:pPr>
        <w:pBdr/>
        <w:spacing/>
        <w:ind w:left="5040" w:hanging="360"/>
        <w:tabs>
          <w:tab w:val="left" w:pos="0"/>
        </w:tabs>
      </w:pPr>
      <w:rPr>
        <w:rFonts w:ascii="Symbol" w:hAnsi="Symbol"/>
        <w:b w:val="0"/>
      </w:rPr>
    </w:lvl>
    <w:lvl w:ilvl="7">
      <w:start w:val="0"/>
      <w:numFmt w:val="bullet"/>
      <w:suff w:val="tab"/>
      <w:lvlText w:val="o"/>
      <w:pPr>
        <w:pBdr/>
        <w:spacing/>
        <w:ind w:left="5760" w:hanging="360"/>
        <w:tabs>
          <w:tab w:val="left" w:pos="0"/>
        </w:tabs>
      </w:pPr>
      <w:rPr>
        <w:rFonts w:ascii="Courier New" w:hAnsi="Courier New"/>
        <w:b w:val="0"/>
      </w:rPr>
    </w:lvl>
    <w:lvl w:ilvl="8">
      <w:start w:val="0"/>
      <w:numFmt w:val="bullet"/>
      <w:suff w:val="tab"/>
      <w:lvlText w:val=""/>
      <w:pPr>
        <w:pBdr/>
        <w:spacing/>
        <w:ind w:left="6480" w:hanging="360"/>
        <w:tabs>
          <w:tab w:val="left" w:pos="0"/>
        </w:tabs>
      </w:pPr>
      <w:rPr>
        <w:rFonts w:ascii="Wingdings" w:hAnsi="Wingdings"/>
        <w:b w:val="0"/>
      </w:rPr>
    </w:lvl>
  </w:abstractNum>
  <w:num w:numId="1">
    <w:abstractNumId w:val="0"/>
  </w:num>
  <w:num w:numId="2">
    <w:abstractNumId w:val="1"/>
  </w:num>
  <w:num w:numId="3">
    <w:abstractNumId w:val="2"/>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documentProtection w:cryptProviderType="rsaAES" w:cryptAlgorithmClass="hash" w:cryptAlgorithmType="typeAny" w:cryptAlgorithmSid="14" w:cryptSpinCount="100000"/>
  <w:zoom w:val="none" w:percent="100"/>
  <w:displayBackgroundShape/>
  <w:defaultTabStop w:val="720"/>
  <w:compat>
    <w:doNotUseHTMLParagraphAutoSpacing/>
    <w:allowSpaceOfSameStyleInTable/>
    <w:compatSetting w:name="compatibilityMode" w:uri="http://schemas.microsoft.com/office/word" w:val="12"/>
  </w:compat>
  <w:footnotePr>
    <w:footnote w:id="-1"/>
    <w:footnote w:id="0"/>
  </w:footnotePr>
  <w:endnotePr>
    <w:endnote w:id="-1"/>
    <w:endnote w:id="0"/>
  </w:endnotePr>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cs="Calibri"/>
        <w:b w:val="0"/>
        <w:i w:val="0"/>
        <w:caps w:val="0"/>
        <w:strike w:val="0"/>
        <w:dstrike w:val="0"/>
        <w:sz w:val="22"/>
        <w:szCs w:val="22"/>
        <w:u w:val="none"/>
        <w:vertAlign w:val="baseline"/>
      </w:rPr>
    </w:rPrDefault>
    <w:pPrDefault>
      <w:pPr>
        <w:pBdr/>
        <w:spacing w:after="200" w:line="276" w:lineRule="auto"/>
        <w:widowControl w:val="1"/>
        <w:ind w:left="0" w:right="0"/>
        <w:jc w:val="left"/>
      </w:pPr>
    </w:pPrDefault>
  </w:docDefaults>
  <w:style w:type="paragraph" w:styleId="Normal">
    <w:name w:val="Normal"/>
    <w:next w:val="Normal"/>
    <w:pPr>
      <w:pBdr/>
      <w:spacing w:after="200" w:line="276" w:lineRule="auto"/>
      <w:widowControl w:val="1"/>
      <w:ind w:left="0" w:right="0"/>
      <w:jc w:val="left"/>
    </w:pPr>
    <w:rPr>
      <w:rFonts w:ascii="Calibri" w:eastAsia="Calibri" w:hAnsi="Calibri" w:cs="Calibri"/>
      <w:b w:val="0"/>
      <w:i w:val="0"/>
      <w:iCs w:val="0"/>
      <w:caps w:val="0"/>
      <w:strike w:val="0"/>
      <w:dstrike w:val="0"/>
      <w:color w:val="auto"/>
      <w:sz w:val="22"/>
      <w:w w:val="100"/>
      <w:szCs w:val="22"/>
      <w:u w:val="none"/>
    </w:rPr>
  </w:style>
  <w:style w:type="character" w:styleId="Default Paragraph Font">
    <w:name w:val="Default Paragraph Font"/>
    <w:rPr/>
  </w:style>
  <w:style w:type="paragraph" w:styleId="Default">
    <w:name w:val="Default"/>
    <w:basedOn w:val="Normal"/>
    <w:next w:val="Default"/>
    <w:pPr>
      <w:pBdr/>
      <w:spacing w:line="240" w:lineRule="auto"/>
      <w:widowControl w:val="0"/>
      <w:ind w:left="0" w:right="0"/>
      <w:jc w:val="left"/>
    </w:pPr>
    <w:rPr>
      <w:rFonts w:ascii="Impact" w:eastAsia="Impact" w:hAnsi="Impact" w:cs="Impact"/>
      <w:b w:val="0"/>
      <w:i w:val="0"/>
      <w:iCs w:val="0"/>
      <w:caps w:val="0"/>
      <w:strike w:val="0"/>
      <w:dstrike w:val="0"/>
      <w:color w:val="000000"/>
      <w:sz w:val="24"/>
      <w:w w:val="100"/>
      <w:szCs w:val="24"/>
      <w:u w:val="none"/>
    </w:rPr>
  </w:style>
  <w:style w:type="paragraph" w:styleId="CM3">
    <w:name w:val="CM3"/>
    <w:basedOn w:val="Normal"/>
    <w:next w:val="CM3"/>
    <w:pPr>
      <w:pBdr/>
      <w:spacing w:after="875" w:line="240" w:lineRule="auto"/>
      <w:widowControl w:val="0"/>
      <w:ind w:left="0" w:right="0"/>
      <w:jc w:val="left"/>
    </w:pPr>
    <w:rPr>
      <w:rFonts w:ascii="Impact" w:eastAsia="Impact" w:hAnsi="Impact" w:cs="Impact"/>
      <w:b w:val="0"/>
      <w:i w:val="0"/>
      <w:iCs w:val="0"/>
      <w:caps w:val="0"/>
      <w:strike w:val="0"/>
      <w:dstrike w:val="0"/>
      <w:color w:val="auto"/>
      <w:sz w:val="24"/>
      <w:w w:val="100"/>
      <w:szCs w:val="24"/>
      <w:u w:val="none"/>
    </w:rPr>
  </w:style>
  <w:style w:type="paragraph" w:styleId="CM1">
    <w:name w:val="CM1"/>
    <w:basedOn w:val="Normal"/>
    <w:next w:val="CM1"/>
    <w:pPr>
      <w:pBdr/>
      <w:spacing w:line="240" w:lineRule="auto"/>
      <w:widowControl w:val="0"/>
      <w:ind w:left="0" w:right="0"/>
      <w:jc w:val="left"/>
    </w:pPr>
    <w:rPr>
      <w:rFonts w:ascii="Impact" w:eastAsia="Impact" w:hAnsi="Impact" w:cs="Impact"/>
      <w:b w:val="0"/>
      <w:i w:val="0"/>
      <w:iCs w:val="0"/>
      <w:caps w:val="0"/>
      <w:strike w:val="0"/>
      <w:dstrike w:val="0"/>
      <w:color w:val="auto"/>
      <w:sz w:val="24"/>
      <w:w w:val="100"/>
      <w:szCs w:val="24"/>
      <w:u w:val="none"/>
    </w:rPr>
  </w:style>
  <w:style w:type="paragraph" w:styleId="CM4">
    <w:name w:val="CM4"/>
    <w:basedOn w:val="Normal"/>
    <w:next w:val="CM4"/>
    <w:pPr>
      <w:pBdr/>
      <w:spacing w:after="113" w:line="240" w:lineRule="auto"/>
      <w:widowControl w:val="0"/>
      <w:ind w:left="0" w:right="0"/>
      <w:jc w:val="left"/>
    </w:pPr>
    <w:rPr>
      <w:rFonts w:ascii="Impact" w:eastAsia="Impact" w:hAnsi="Impact" w:cs="Impact"/>
      <w:b w:val="0"/>
      <w:i w:val="0"/>
      <w:iCs w:val="0"/>
      <w:caps w:val="0"/>
      <w:strike w:val="0"/>
      <w:dstrike w:val="0"/>
      <w:color w:val="auto"/>
      <w:sz w:val="24"/>
      <w:w w:val="100"/>
      <w:szCs w:val="24"/>
      <w:u w:val="none"/>
    </w:rPr>
  </w:style>
  <w:style w:type="paragraph" w:styleId="CM2">
    <w:name w:val="CM2"/>
    <w:basedOn w:val="Normal"/>
    <w:next w:val="CM2"/>
    <w:pPr>
      <w:pBdr/>
      <w:spacing w:line="448" w:lineRule="atLeast"/>
      <w:widowControl w:val="0"/>
      <w:ind w:left="0" w:right="0"/>
      <w:jc w:val="left"/>
    </w:pPr>
    <w:rPr>
      <w:rFonts w:ascii="Impact" w:eastAsia="Impact" w:hAnsi="Impact" w:cs="Impact"/>
      <w:b w:val="0"/>
      <w:i w:val="0"/>
      <w:iCs w:val="0"/>
      <w:caps w:val="0"/>
      <w:strike w:val="0"/>
      <w:dstrike w:val="0"/>
      <w:color w:val="auto"/>
      <w:sz w:val="24"/>
      <w:w w:val="100"/>
      <w:szCs w:val="24"/>
      <w:u w:val="none"/>
    </w:rPr>
  </w:style>
  <w:style w:type="paragraph" w:styleId="CM5">
    <w:name w:val="CM5"/>
    <w:basedOn w:val="Normal"/>
    <w:next w:val="CM5"/>
    <w:pPr>
      <w:pBdr/>
      <w:spacing w:after="358" w:line="240" w:lineRule="auto"/>
      <w:widowControl w:val="0"/>
      <w:ind w:left="0" w:right="0"/>
      <w:jc w:val="left"/>
    </w:pPr>
    <w:rPr>
      <w:rFonts w:ascii="Impact" w:eastAsia="Impact" w:hAnsi="Impact" w:cs="Impact"/>
      <w:b w:val="0"/>
      <w:i w:val="0"/>
      <w:iCs w:val="0"/>
      <w:caps w:val="0"/>
      <w:strike w:val="0"/>
      <w:dstrike w:val="0"/>
      <w:color w:val="auto"/>
      <w:sz w:val="24"/>
      <w:w w:val="100"/>
      <w:szCs w:val="24"/>
      <w:u w:val="none"/>
    </w:rPr>
  </w:style>
  <w:style w:type="paragraph" w:styleId="Header">
    <w:name w:val="Header"/>
    <w:basedOn w:val="Normal"/>
    <w:next w:val="Header"/>
    <w:pPr>
      <w:pBdr/>
      <w:spacing w:after="200" w:line="276" w:lineRule="auto"/>
      <w:widowControl w:val="1"/>
      <w:ind w:left="0" w:right="0"/>
      <w:jc w:val="left"/>
      <w:tabs>
        <w:tab w:val="center" w:pos="4680"/>
        <w:tab w:val="right" w:pos="9360"/>
      </w:tabs>
    </w:pPr>
    <w:rPr>
      <w:rFonts w:ascii="Calibri" w:eastAsia="Calibri" w:hAnsi="Calibri" w:cs="Calibri"/>
      <w:b w:val="0"/>
      <w:i w:val="0"/>
      <w:iCs w:val="0"/>
      <w:caps w:val="0"/>
      <w:strike w:val="0"/>
      <w:dstrike w:val="0"/>
      <w:color w:val="auto"/>
      <w:sz w:val="22"/>
      <w:w w:val="100"/>
      <w:szCs w:val="22"/>
      <w:u w:val="none"/>
    </w:rPr>
  </w:style>
  <w:style w:type="character" w:styleId="Header Char">
    <w:name w:val="Header Char"/>
    <w:basedOn w:val="Default Paragraph Font"/>
    <w:rPr>
      <w:b w:val="0"/>
      <w:i w:val="0"/>
      <w:iCs w:val="0"/>
      <w:caps w:val="0"/>
      <w:strike w:val="0"/>
      <w:dstrike w:val="0"/>
      <w:color w:val="auto"/>
      <w:w w:val="100"/>
      <w:u w:val="none"/>
    </w:rPr>
  </w:style>
  <w:style w:type="paragraph" w:styleId="Footer">
    <w:name w:val="Footer"/>
    <w:basedOn w:val="Normal"/>
    <w:next w:val="Footer"/>
    <w:pPr>
      <w:pBdr/>
      <w:spacing w:after="200" w:line="276" w:lineRule="auto"/>
      <w:widowControl w:val="1"/>
      <w:ind w:left="0" w:right="0"/>
      <w:jc w:val="left"/>
      <w:tabs>
        <w:tab w:val="center" w:pos="4680"/>
        <w:tab w:val="right" w:pos="9360"/>
      </w:tabs>
    </w:pPr>
    <w:rPr>
      <w:rFonts w:ascii="Calibri" w:eastAsia="Calibri" w:hAnsi="Calibri" w:cs="Calibri"/>
      <w:b w:val="0"/>
      <w:i w:val="0"/>
      <w:iCs w:val="0"/>
      <w:caps w:val="0"/>
      <w:strike w:val="0"/>
      <w:dstrike w:val="0"/>
      <w:color w:val="auto"/>
      <w:sz w:val="22"/>
      <w:w w:val="100"/>
      <w:szCs w:val="22"/>
      <w:u w:val="none"/>
    </w:rPr>
  </w:style>
  <w:style w:type="character" w:styleId="Footer Char">
    <w:name w:val="Footer Char"/>
    <w:basedOn w:val="Default Paragraph Font"/>
    <w:rPr>
      <w:b w:val="0"/>
      <w:i w:val="0"/>
      <w:iCs w:val="0"/>
      <w:caps w:val="0"/>
      <w:strike w:val="0"/>
      <w:dstrike w:val="0"/>
      <w:color w:val="auto"/>
      <w:w w:val="100"/>
      <w:u w:val="none"/>
    </w:rPr>
  </w:style>
  <w:style w:type="paragraph" w:styleId="Balloon Text">
    <w:name w:val="Balloon Text"/>
    <w:basedOn w:val="Normal"/>
    <w:next w:val="Balloon Text"/>
    <w:pPr>
      <w:pBdr/>
      <w:spacing w:line="240" w:lineRule="auto"/>
      <w:widowControl w:val="1"/>
      <w:ind w:left="0" w:right="0"/>
      <w:jc w:val="left"/>
    </w:pPr>
    <w:rPr>
      <w:rFonts w:ascii="Tahoma" w:eastAsia="Tahoma" w:hAnsi="Tahoma" w:cs="Tahoma"/>
      <w:b w:val="0"/>
      <w:i w:val="0"/>
      <w:iCs w:val="0"/>
      <w:caps w:val="0"/>
      <w:strike w:val="0"/>
      <w:dstrike w:val="0"/>
      <w:color w:val="auto"/>
      <w:sz w:val="16"/>
      <w:w w:val="100"/>
      <w:szCs w:val="16"/>
      <w:u w:val="none"/>
    </w:rPr>
  </w:style>
  <w:style w:type="character" w:styleId="Balloon Text Char">
    <w:name w:val="Balloon Text Char"/>
    <w:basedOn w:val="Default Paragraph Font"/>
    <w:rPr>
      <w:rFonts w:ascii="Tahoma" w:eastAsia="Tahoma" w:hAnsi="Tahoma" w:cs="Tahoma"/>
      <w:b w:val="0"/>
      <w:i w:val="0"/>
      <w:iCs w:val="0"/>
      <w:caps w:val="0"/>
      <w:strike w:val="0"/>
      <w:dstrike w:val="0"/>
      <w:color w:val="auto"/>
      <w:sz w:val="16"/>
      <w:w w:val="100"/>
      <w:szCs w:val="16"/>
      <w:u w:val="none"/>
    </w:rPr>
  </w:style>
  <w:style w:type="paragraph" w:styleId="Revision">
    <w:name w:val="Revision"/>
    <w:basedOn w:val="Normal"/>
    <w:next w:val="Revision"/>
    <w:pPr>
      <w:pBdr/>
      <w:spacing w:line="240" w:lineRule="auto"/>
      <w:widowControl w:val="1"/>
      <w:ind w:left="0" w:right="0"/>
      <w:jc w:val="left"/>
    </w:pPr>
    <w:rPr>
      <w:rFonts w:ascii="Calibri" w:eastAsia="Calibri" w:hAnsi="Calibri" w:cs="Calibri"/>
      <w:b w:val="0"/>
      <w:i w:val="0"/>
      <w:iCs w:val="0"/>
      <w:caps w:val="0"/>
      <w:strike w:val="0"/>
      <w:dstrike w:val="0"/>
      <w:color w:val="auto"/>
      <w:sz w:val="22"/>
      <w:w w:val="100"/>
      <w:szCs w:val="22"/>
      <w:u w:val="none"/>
    </w:rPr>
  </w:style>
  <w:style w:type="paragraph" w:styleId="Heading 1">
    <w:name w:val="Heading 1"/>
    <w:basedOn w:val="Normal"/>
    <w:next w:val="Normal"/>
    <w:link w:val="Heading 1 Char"/>
    <w:pPr>
      <w:pBdr/>
      <w:outlineLvl w:val="0"/>
      <w:spacing w:before="240" w:after="0" w:line="259" w:lineRule="auto"/>
      <w:ind w:left="0" w:right="0" w:firstLine="0"/>
      <w:jc w:val="left"/>
    </w:pPr>
    <w:rPr>
      <w:rFonts w:ascii="Calibri Light" w:hAnsi="Calibri Light"/>
      <w:color w:val="2F5496"/>
      <w:sz w:val="32"/>
    </w:rPr>
  </w:style>
  <w:style w:type="character" w:styleId="Heading 1 Char">
    <w:name w:val="Heading 1 Char"/>
    <w:basedOn w:val="Default Paragraph Font"/>
    <w:rPr>
      <w:rFonts w:ascii="Calibri Light" w:hAnsi="Calibri Light"/>
      <w:color w:val="2F5496"/>
      <w:sz w:val="32"/>
    </w:rPr>
  </w:style>
  <w:style w:type="paragraph" w:styleId="Heading 2">
    <w:name w:val="Heading 2"/>
    <w:basedOn w:val="Normal"/>
    <w:next w:val="Normal"/>
    <w:link w:val="Heading 2 Char"/>
    <w:pPr>
      <w:pBdr/>
      <w:outlineLvl w:val="1"/>
      <w:spacing w:before="40" w:after="0" w:line="259" w:lineRule="auto"/>
      <w:ind w:left="0" w:right="0" w:firstLine="0"/>
      <w:jc w:val="left"/>
    </w:pPr>
    <w:rPr>
      <w:rFonts w:ascii="Calibri Light" w:hAnsi="Calibri Light"/>
      <w:color w:val="2F5496"/>
      <w:sz w:val="26"/>
    </w:rPr>
  </w:style>
  <w:style w:type="character" w:styleId="Heading 2 Char">
    <w:name w:val="Heading 2 Char"/>
    <w:basedOn w:val="Default Paragraph Font"/>
    <w:rPr>
      <w:rFonts w:ascii="Calibri Light" w:hAnsi="Calibri Light"/>
      <w:color w:val="2F5496"/>
      <w:sz w:val="26"/>
    </w:rPr>
  </w:style>
  <w:style w:type="paragraph" w:styleId="Heading 3">
    <w:name w:val="Heading 3"/>
    <w:basedOn w:val="Normal"/>
    <w:next w:val="Normal"/>
    <w:link w:val="Heading 3 Char"/>
    <w:pPr>
      <w:pBdr/>
      <w:outlineLvl w:val="2"/>
      <w:spacing w:before="40" w:after="0" w:line="259" w:lineRule="auto"/>
      <w:ind w:left="0" w:right="0" w:firstLine="0"/>
      <w:jc w:val="left"/>
    </w:pPr>
    <w:rPr>
      <w:rFonts w:ascii="Calibri Light" w:hAnsi="Calibri Light"/>
      <w:color w:val="1F3763"/>
      <w:sz w:val="24"/>
    </w:rPr>
  </w:style>
  <w:style w:type="character" w:styleId="Heading 3 Char">
    <w:name w:val="Heading 3 Char"/>
    <w:basedOn w:val="Default Paragraph Font"/>
    <w:rPr>
      <w:rFonts w:ascii="Calibri Light" w:hAnsi="Calibri Light"/>
      <w:color w:val="1F3763"/>
      <w:sz w:val="24"/>
    </w:rPr>
  </w:style>
  <w:style w:type="paragraph" w:styleId="Heading 4">
    <w:name w:val="Heading 4"/>
    <w:basedOn w:val="Normal"/>
    <w:next w:val="Normal"/>
    <w:link w:val="Heading 4 Char"/>
    <w:pPr>
      <w:pBdr/>
      <w:outlineLvl w:val="3"/>
      <w:spacing w:before="40" w:after="0" w:line="259" w:lineRule="auto"/>
      <w:ind w:left="0" w:right="0" w:firstLine="0"/>
      <w:jc w:val="left"/>
    </w:pPr>
    <w:rPr>
      <w:rFonts w:ascii="Calibri Light" w:hAnsi="Calibri Light"/>
      <w:i/>
      <w:color w:val="2F5496"/>
    </w:rPr>
  </w:style>
  <w:style w:type="character" w:styleId="Heading 4 Char">
    <w:name w:val="Heading 4 Char"/>
    <w:basedOn w:val="Default Paragraph Font"/>
    <w:rPr>
      <w:rFonts w:ascii="Calibri Light" w:hAnsi="Calibri Light"/>
      <w:i/>
      <w:color w:val="2F5496"/>
    </w:rPr>
  </w:style>
  <w:style w:type="paragraph" w:styleId="Heading 5">
    <w:name w:val="Heading 5"/>
    <w:basedOn w:val="Normal"/>
    <w:next w:val="Normal"/>
    <w:link w:val="Heading 5 Char"/>
    <w:pPr>
      <w:pBdr/>
      <w:outlineLvl w:val="4"/>
      <w:spacing w:before="40" w:after="0" w:line="259" w:lineRule="auto"/>
      <w:ind w:left="0" w:right="0" w:firstLine="0"/>
      <w:jc w:val="left"/>
    </w:pPr>
    <w:rPr>
      <w:rFonts w:ascii="Calibri Light" w:hAnsi="Calibri Light"/>
      <w:color w:val="2F5496"/>
    </w:rPr>
  </w:style>
  <w:style w:type="character" w:styleId="Heading 5 Char">
    <w:name w:val="Heading 5 Char"/>
    <w:basedOn w:val="Default Paragraph Font"/>
    <w:rPr>
      <w:rFonts w:ascii="Calibri Light" w:hAnsi="Calibri Light"/>
      <w:color w:val="2F5496"/>
    </w:rPr>
  </w:style>
  <w:style w:type="paragraph" w:styleId="Heading 6">
    <w:name w:val="Heading 6"/>
    <w:basedOn w:val="Normal"/>
    <w:next w:val="Normal"/>
    <w:link w:val="Heading 6 Char"/>
    <w:pPr>
      <w:pBdr/>
      <w:outlineLvl w:val="5"/>
      <w:spacing w:before="40" w:after="0" w:line="259" w:lineRule="auto"/>
      <w:ind w:left="0" w:right="0" w:firstLine="0"/>
      <w:jc w:val="left"/>
    </w:pPr>
    <w:rPr>
      <w:rFonts w:ascii="Calibri Light" w:hAnsi="Calibri Light"/>
      <w:color w:val="1F3763"/>
    </w:rPr>
  </w:style>
  <w:style w:type="character" w:styleId="Heading 6 Char">
    <w:name w:val="Heading 6 Char"/>
    <w:basedOn w:val="Default Paragraph Font"/>
    <w:rPr>
      <w:rFonts w:ascii="Calibri Light" w:hAnsi="Calibri Light"/>
      <w:color w:val="1F3763"/>
    </w:rPr>
  </w:style>
  <w:style w:type="paragraph" w:styleId="Heading 7">
    <w:name w:val="Heading 7"/>
    <w:basedOn w:val="Normal"/>
    <w:next w:val="Normal"/>
    <w:link w:val="Heading 7 Char"/>
    <w:pPr>
      <w:pBdr/>
      <w:outlineLvl w:val="6"/>
      <w:spacing w:before="40" w:after="0" w:line="259" w:lineRule="auto"/>
      <w:ind w:left="0" w:right="0" w:firstLine="0"/>
      <w:jc w:val="left"/>
    </w:pPr>
    <w:rPr>
      <w:rFonts w:ascii="Calibri Light" w:hAnsi="Calibri Light"/>
      <w:i/>
      <w:color w:val="1F3763"/>
    </w:rPr>
  </w:style>
  <w:style w:type="character" w:styleId="Heading 7 Char">
    <w:name w:val="Heading 7 Char"/>
    <w:basedOn w:val="Default Paragraph Font"/>
    <w:rPr>
      <w:rFonts w:ascii="Calibri Light" w:hAnsi="Calibri Light"/>
      <w:i/>
      <w:color w:val="1F3763"/>
    </w:rPr>
  </w:style>
  <w:style w:type="paragraph" w:styleId="Heading 8">
    <w:name w:val="Heading 8"/>
    <w:basedOn w:val="Normal"/>
    <w:next w:val="Normal"/>
    <w:link w:val="Heading 8 Char"/>
    <w:pPr>
      <w:pBdr/>
      <w:outlineLvl w:val="7"/>
      <w:spacing w:before="40" w:after="0" w:line="259" w:lineRule="auto"/>
      <w:ind w:left="0" w:right="0" w:firstLine="0"/>
      <w:jc w:val="left"/>
    </w:pPr>
    <w:rPr>
      <w:rFonts w:ascii="Calibri Light" w:hAnsi="Calibri Light"/>
      <w:color w:val="333333"/>
      <w:sz w:val="21"/>
    </w:rPr>
  </w:style>
  <w:style w:type="character" w:styleId="Heading 8 Char">
    <w:name w:val="Heading 8 Char"/>
    <w:basedOn w:val="Default Paragraph Font"/>
    <w:rPr>
      <w:rFonts w:ascii="Calibri Light" w:hAnsi="Calibri Light"/>
      <w:color w:val="333333"/>
      <w:sz w:val="21"/>
    </w:rPr>
  </w:style>
  <w:style w:type="paragraph" w:styleId="Heading 9">
    <w:name w:val="Heading 9"/>
    <w:basedOn w:val="Normal"/>
    <w:next w:val="Normal"/>
    <w:link w:val="Heading 9 Char"/>
    <w:pPr>
      <w:pBdr/>
      <w:outlineLvl w:val="8"/>
      <w:spacing w:before="40" w:after="0" w:line="259" w:lineRule="auto"/>
      <w:ind w:left="0" w:right="0" w:firstLine="0"/>
      <w:jc w:val="left"/>
    </w:pPr>
    <w:rPr>
      <w:rFonts w:ascii="Calibri Light" w:hAnsi="Calibri Light"/>
      <w:i/>
      <w:color w:val="333333"/>
      <w:sz w:val="21"/>
    </w:rPr>
  </w:style>
  <w:style w:type="character" w:styleId="Heading 9 Char">
    <w:name w:val="Heading 9 Char"/>
    <w:basedOn w:val="Default Paragraph Font"/>
    <w:rPr>
      <w:rFonts w:ascii="Calibri Light" w:hAnsi="Calibri Light"/>
      <w:i/>
      <w:color w:val="333333"/>
      <w:sz w:val="21"/>
    </w:rPr>
  </w:style>
</w:styles>
</file>

<file path=word/_rels/document.xml.rels><?xml version="1.0" encoding="utf-8"?><Relationships xmlns="http://schemas.openxmlformats.org/package/2006/relationships"><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endnotes" Target="endnotes.xml" /><Relationship Id="rId7" Type="http://schemas.openxmlformats.org/officeDocument/2006/relationships/footnotes" Target="footnotes.xml" /><Relationship Id="rId8" Type="http://schemas.openxmlformats.org/officeDocument/2006/relationships/numbering" Target="numbering.xml" /><Relationship Id="rId2" Type="http://schemas.openxmlformats.org/officeDocument/2006/relationships/footer" Target="footer2.xml" /><Relationship Id="rId1" Type="http://schemas.openxmlformats.org/officeDocument/2006/relationships/header" Target="header1.xml" /></Relationships>
</file>

<file path=word/_rels/header1.xml.rels><?xml version="1.0" encoding="utf-8"?><Relationships xmlns="http://schemas.openxmlformats.org/package/2006/relationships"><Relationship Id="rId3" Type="http://schemas.openxmlformats.org/officeDocument/2006/relationships/image" Target="media/imagerId3.jpeg" /></Relationships>
</file>